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73E7" w14:textId="77777777" w:rsidR="0051191D" w:rsidRPr="00CB2E83" w:rsidRDefault="0051191D" w:rsidP="0051191D">
      <w:pPr>
        <w:jc w:val="both"/>
        <w:rPr>
          <w:rFonts w:ascii="Times New Roman" w:hAnsi="Times New Roman" w:cs="Times New Roman"/>
        </w:rPr>
      </w:pPr>
      <w:r w:rsidRPr="00CB2E83">
        <w:rPr>
          <w:rFonts w:ascii="Times New Roman" w:eastAsia="Arial" w:hAnsi="Times New Roman" w:cs="Times New Roman"/>
          <w:b/>
          <w:sz w:val="32"/>
        </w:rPr>
        <w:t>13 - Simplifying reflective practice for MBA and DBA students</w:t>
      </w:r>
    </w:p>
    <w:p w14:paraId="07E16473" w14:textId="77777777" w:rsidR="0051191D" w:rsidRPr="00CB2E83" w:rsidRDefault="0051191D" w:rsidP="0051191D">
      <w:pPr>
        <w:spacing w:before="150" w:after="150"/>
        <w:jc w:val="both"/>
        <w:rPr>
          <w:rFonts w:ascii="Times New Roman" w:hAnsi="Times New Roman" w:cs="Times New Roman"/>
        </w:rPr>
      </w:pPr>
      <w:r w:rsidRPr="00CB2E83">
        <w:rPr>
          <w:rFonts w:ascii="Times New Roman" w:eastAsia="Arial" w:hAnsi="Times New Roman" w:cs="Times New Roman"/>
          <w:u w:val="single"/>
        </w:rPr>
        <w:t>Fiona McNamara</w:t>
      </w:r>
      <w:r w:rsidRPr="00CB2E83">
        <w:rPr>
          <w:rFonts w:ascii="Times New Roman" w:hAnsi="Times New Roman" w:cs="Times New Roman"/>
          <w:vertAlign w:val="superscript"/>
        </w:rPr>
        <w:t>1</w:t>
      </w:r>
    </w:p>
    <w:p w14:paraId="6CD74918" w14:textId="77777777" w:rsidR="0051191D" w:rsidRPr="00CB2E83" w:rsidRDefault="0051191D" w:rsidP="0051191D">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1A1C1C33"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The aim of this discussion paper is to suggest some alterative models and ideas which may resonate more with MBA and DBA students.   This is based on my 25 years’ experience teaching reflection and my recent engagement in reflective practice as a core part of my DBA.  My aim is to offer clarity on the following three areas:   </w:t>
      </w:r>
    </w:p>
    <w:p w14:paraId="43729B61" w14:textId="77777777" w:rsidR="0051191D" w:rsidRPr="00CB2E83" w:rsidRDefault="0051191D" w:rsidP="0051191D">
      <w:pPr>
        <w:numPr>
          <w:ilvl w:val="0"/>
          <w:numId w:val="1"/>
        </w:numPr>
        <w:spacing w:line="240" w:lineRule="auto"/>
        <w:ind w:left="720"/>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What should MBA and DBA students reflect on?</w:t>
      </w:r>
    </w:p>
    <w:p w14:paraId="1EBFC3B0" w14:textId="77777777" w:rsidR="0051191D" w:rsidRPr="00CB2E83" w:rsidRDefault="0051191D" w:rsidP="0051191D">
      <w:pPr>
        <w:numPr>
          <w:ilvl w:val="0"/>
          <w:numId w:val="1"/>
        </w:numPr>
        <w:spacing w:line="240" w:lineRule="auto"/>
        <w:ind w:left="720"/>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A model to facilitate personal development.  </w:t>
      </w:r>
    </w:p>
    <w:p w14:paraId="3DC2FC8C" w14:textId="77777777" w:rsidR="0051191D" w:rsidRPr="00CB2E83" w:rsidRDefault="0051191D" w:rsidP="0051191D">
      <w:pPr>
        <w:numPr>
          <w:ilvl w:val="0"/>
          <w:numId w:val="1"/>
        </w:numPr>
        <w:spacing w:line="240" w:lineRule="auto"/>
        <w:ind w:left="720"/>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An alternative to reflective journalling.</w:t>
      </w:r>
    </w:p>
    <w:p w14:paraId="7C5F56E1"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p>
    <w:p w14:paraId="7094F5A3" w14:textId="77777777" w:rsidR="0051191D" w:rsidRPr="00CB2E83" w:rsidRDefault="0051191D" w:rsidP="0051191D">
      <w:pPr>
        <w:spacing w:after="0" w:line="240" w:lineRule="auto"/>
        <w:contextualSpacing/>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t>Introduction.</w:t>
      </w:r>
    </w:p>
    <w:p w14:paraId="1DA070D1" w14:textId="77777777" w:rsidR="0051191D" w:rsidRPr="00CB2E83" w:rsidRDefault="0051191D" w:rsidP="0051191D">
      <w:pPr>
        <w:spacing w:after="0" w:line="240" w:lineRule="auto"/>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Whilst there is no shortage of literature on reflection, many aspects of this topic remain opaque. Much of the modern dialogue and research around reflective practice comes from the domains of nursing, social </w:t>
      </w:r>
      <w:proofErr w:type="gramStart"/>
      <w:r w:rsidRPr="00CB2E83">
        <w:rPr>
          <w:rFonts w:ascii="Times New Roman" w:eastAsiaTheme="minorHAnsi" w:hAnsi="Times New Roman" w:cs="Times New Roman"/>
          <w:sz w:val="24"/>
          <w:szCs w:val="24"/>
          <w:lang w:eastAsia="en-US"/>
        </w:rPr>
        <w:t>work</w:t>
      </w:r>
      <w:proofErr w:type="gramEnd"/>
      <w:r w:rsidRPr="00CB2E83">
        <w:rPr>
          <w:rFonts w:ascii="Times New Roman" w:eastAsiaTheme="minorHAnsi" w:hAnsi="Times New Roman" w:cs="Times New Roman"/>
          <w:sz w:val="24"/>
          <w:szCs w:val="24"/>
          <w:lang w:eastAsia="en-US"/>
        </w:rPr>
        <w:t xml:space="preserve"> and teaching, all heavily influenced by the work of Schon (1983), with a comparative paucity of evidence from the management field (Griggs et al, 2018).  Whilst there are writers on the topic from the management arena </w:t>
      </w:r>
      <w:proofErr w:type="spellStart"/>
      <w:proofErr w:type="gramStart"/>
      <w:r w:rsidRPr="00CB2E83">
        <w:rPr>
          <w:rFonts w:ascii="Times New Roman" w:eastAsiaTheme="minorHAnsi" w:hAnsi="Times New Roman" w:cs="Times New Roman"/>
          <w:sz w:val="24"/>
          <w:szCs w:val="24"/>
          <w:lang w:eastAsia="en-US"/>
        </w:rPr>
        <w:t>eg</w:t>
      </w:r>
      <w:proofErr w:type="spellEnd"/>
      <w:proofErr w:type="gramEnd"/>
      <w:r w:rsidRPr="00CB2E83">
        <w:rPr>
          <w:rFonts w:ascii="Times New Roman" w:eastAsiaTheme="minorHAnsi" w:hAnsi="Times New Roman" w:cs="Times New Roman"/>
          <w:sz w:val="24"/>
          <w:szCs w:val="24"/>
          <w:lang w:eastAsia="en-US"/>
        </w:rPr>
        <w:t xml:space="preserve"> Reynolds and Vince (2004) their take is influenced by critical theory and focuses on reflection from an organisational perspective.  Whilst important, this does not help executive MBA students looking to reflect on their leadership development, nor DBA students looking to get insights into mental blocks and personal frustrations with their research progress.    </w:t>
      </w:r>
    </w:p>
    <w:p w14:paraId="2F14CC7B" w14:textId="77777777" w:rsidR="0051191D" w:rsidRPr="00CB2E83" w:rsidRDefault="0051191D" w:rsidP="0051191D">
      <w:pPr>
        <w:spacing w:line="240" w:lineRule="auto"/>
        <w:contextualSpacing/>
        <w:rPr>
          <w:rFonts w:ascii="Times New Roman" w:eastAsiaTheme="minorHAnsi" w:hAnsi="Times New Roman" w:cs="Times New Roman"/>
          <w:sz w:val="28"/>
          <w:szCs w:val="28"/>
          <w:lang w:eastAsia="en-US"/>
        </w:rPr>
      </w:pPr>
    </w:p>
    <w:p w14:paraId="4BF55A42" w14:textId="77777777" w:rsidR="0051191D" w:rsidRPr="00CB2E83" w:rsidRDefault="0051191D" w:rsidP="0051191D">
      <w:pPr>
        <w:numPr>
          <w:ilvl w:val="0"/>
          <w:numId w:val="2"/>
        </w:numPr>
        <w:spacing w:line="240" w:lineRule="auto"/>
        <w:contextualSpacing/>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t>What should MBA and DBA students reflect on?</w:t>
      </w:r>
    </w:p>
    <w:p w14:paraId="1E946C12"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From widespread reading I have found that much of literature on reflection does not always have much clarity on what one should reflect on.  Browsing three books, by key writers on reflection, that I </w:t>
      </w:r>
      <w:proofErr w:type="gramStart"/>
      <w:r w:rsidRPr="00CB2E83">
        <w:rPr>
          <w:rFonts w:ascii="Times New Roman" w:eastAsiaTheme="minorHAnsi" w:hAnsi="Times New Roman" w:cs="Times New Roman"/>
          <w:sz w:val="24"/>
          <w:szCs w:val="24"/>
          <w:lang w:eastAsia="en-US"/>
        </w:rPr>
        <w:t>have to</w:t>
      </w:r>
      <w:proofErr w:type="gramEnd"/>
      <w:r w:rsidRPr="00CB2E83">
        <w:rPr>
          <w:rFonts w:ascii="Times New Roman" w:eastAsiaTheme="minorHAnsi" w:hAnsi="Times New Roman" w:cs="Times New Roman"/>
          <w:sz w:val="24"/>
          <w:szCs w:val="24"/>
          <w:lang w:eastAsia="en-US"/>
        </w:rPr>
        <w:t xml:space="preserve"> hand (Bolton and </w:t>
      </w:r>
      <w:proofErr w:type="spellStart"/>
      <w:r w:rsidRPr="00CB2E83">
        <w:rPr>
          <w:rFonts w:ascii="Times New Roman" w:eastAsiaTheme="minorHAnsi" w:hAnsi="Times New Roman" w:cs="Times New Roman"/>
          <w:sz w:val="24"/>
          <w:szCs w:val="24"/>
          <w:lang w:eastAsia="en-US"/>
        </w:rPr>
        <w:t>Delderfield</w:t>
      </w:r>
      <w:proofErr w:type="spellEnd"/>
      <w:r w:rsidRPr="00CB2E83">
        <w:rPr>
          <w:rFonts w:ascii="Times New Roman" w:eastAsiaTheme="minorHAnsi" w:hAnsi="Times New Roman" w:cs="Times New Roman"/>
          <w:sz w:val="24"/>
          <w:szCs w:val="24"/>
          <w:lang w:eastAsia="en-US"/>
        </w:rPr>
        <w:t xml:space="preserve">, 2018; Fook and Gardner, 2007; Moon, 1999) and I cannot easily find the answer to this question.   This is not an isolated experience.  This is a vitally important question for anyone starting the process of reflection and to offer clarity on this I would like to propose three domains for reflection (Figure 1). </w:t>
      </w:r>
    </w:p>
    <w:p w14:paraId="3F02BD10"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p>
    <w:p w14:paraId="671BF670" w14:textId="77777777" w:rsidR="0051191D" w:rsidRPr="00CB2E83" w:rsidRDefault="0051191D" w:rsidP="0051191D">
      <w:pPr>
        <w:spacing w:line="240" w:lineRule="auto"/>
        <w:contextualSpacing/>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t>Figure 1: The three domains for reflection for MBA and DBA students.</w:t>
      </w:r>
    </w:p>
    <w:p w14:paraId="36CA088B" w14:textId="77777777" w:rsidR="0051191D" w:rsidRPr="00CB2E83" w:rsidRDefault="0051191D" w:rsidP="0051191D">
      <w:pPr>
        <w:spacing w:line="240" w:lineRule="auto"/>
        <w:contextualSpacing/>
        <w:rPr>
          <w:rFonts w:ascii="Times New Roman" w:eastAsiaTheme="minorHAnsi" w:hAnsi="Times New Roman" w:cs="Times New Roman"/>
          <w:lang w:eastAsia="en-US"/>
        </w:rPr>
      </w:pPr>
      <w:r w:rsidRPr="00CB2E83">
        <w:rPr>
          <w:rFonts w:ascii="Times New Roman" w:eastAsiaTheme="minorHAnsi" w:hAnsi="Times New Roman" w:cs="Times New Roman"/>
          <w:lang w:eastAsia="en-US"/>
        </w:rPr>
        <w:t>The interrelated nature of the domains is illustrated by the Venn diagram circles.</w:t>
      </w:r>
    </w:p>
    <w:p w14:paraId="7FB69EE0" w14:textId="77777777" w:rsidR="0051191D" w:rsidRPr="00CB2E83" w:rsidRDefault="0051191D" w:rsidP="0051191D">
      <w:pPr>
        <w:spacing w:line="240" w:lineRule="auto"/>
        <w:contextualSpacing/>
        <w:rPr>
          <w:rFonts w:ascii="Times New Roman" w:eastAsiaTheme="minorHAnsi" w:hAnsi="Times New Roman" w:cs="Times New Roman"/>
          <w:b/>
          <w:bCs/>
          <w:sz w:val="20"/>
          <w:szCs w:val="20"/>
          <w:lang w:eastAsia="en-US"/>
        </w:rPr>
      </w:pPr>
      <w:r w:rsidRPr="00CB2E83">
        <w:rPr>
          <w:rFonts w:eastAsiaTheme="minorHAnsi"/>
          <w:noProof/>
          <w:sz w:val="18"/>
          <w:szCs w:val="18"/>
          <w:lang w:eastAsia="en-US"/>
        </w:rPr>
        <w:drawing>
          <wp:anchor distT="0" distB="0" distL="114300" distR="114300" simplePos="0" relativeHeight="251659264" behindDoc="0" locked="0" layoutInCell="1" allowOverlap="1" wp14:anchorId="42CFCCA7" wp14:editId="38EB01E7">
            <wp:simplePos x="0" y="0"/>
            <wp:positionH relativeFrom="margin">
              <wp:align>left</wp:align>
            </wp:positionH>
            <wp:positionV relativeFrom="paragraph">
              <wp:posOffset>36868</wp:posOffset>
            </wp:positionV>
            <wp:extent cx="3187700" cy="2390952"/>
            <wp:effectExtent l="0" t="0" r="0" b="9525"/>
            <wp:wrapThrough wrapText="bothSides">
              <wp:wrapPolygon edited="0">
                <wp:start x="0" y="0"/>
                <wp:lineTo x="0" y="21514"/>
                <wp:lineTo x="21428" y="21514"/>
                <wp:lineTo x="21428" y="0"/>
                <wp:lineTo x="0" y="0"/>
              </wp:wrapPolygon>
            </wp:wrapThrough>
            <wp:docPr id="92983158" name="Picture 92983158" descr="A diagram of a person's ref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3158" name="Picture 1" descr="A diagram of a person's reflecti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7700" cy="23909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9E42C"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r w:rsidRPr="00CB2E83">
        <w:rPr>
          <w:rFonts w:ascii="Times New Roman" w:eastAsiaTheme="minorHAnsi" w:hAnsi="Times New Roman" w:cs="Times New Roman"/>
          <w:b/>
          <w:bCs/>
          <w:sz w:val="20"/>
          <w:szCs w:val="20"/>
          <w:lang w:eastAsia="en-US"/>
        </w:rPr>
        <w:t>Self:</w:t>
      </w:r>
      <w:r w:rsidRPr="00CB2E83">
        <w:rPr>
          <w:rFonts w:ascii="Times New Roman" w:eastAsiaTheme="minorHAnsi" w:hAnsi="Times New Roman" w:cs="Times New Roman"/>
          <w:sz w:val="20"/>
          <w:szCs w:val="20"/>
          <w:lang w:eastAsia="en-US"/>
        </w:rPr>
        <w:t xml:space="preserve">  the personal self.  This involves thinking about hopes, dreams, wants, needs, strengths, weaknesses, personality, motivations, </w:t>
      </w:r>
      <w:proofErr w:type="gramStart"/>
      <w:r w:rsidRPr="00CB2E83">
        <w:rPr>
          <w:rFonts w:ascii="Times New Roman" w:eastAsiaTheme="minorHAnsi" w:hAnsi="Times New Roman" w:cs="Times New Roman"/>
          <w:sz w:val="20"/>
          <w:szCs w:val="20"/>
          <w:lang w:eastAsia="en-US"/>
        </w:rPr>
        <w:t>resilience</w:t>
      </w:r>
      <w:proofErr w:type="gramEnd"/>
      <w:r w:rsidRPr="00CB2E83">
        <w:rPr>
          <w:rFonts w:ascii="Times New Roman" w:eastAsiaTheme="minorHAnsi" w:hAnsi="Times New Roman" w:cs="Times New Roman"/>
          <w:sz w:val="20"/>
          <w:szCs w:val="20"/>
          <w:lang w:eastAsia="en-US"/>
        </w:rPr>
        <w:t xml:space="preserve"> and the importance of work life balance.</w:t>
      </w:r>
    </w:p>
    <w:p w14:paraId="5CB33BEE"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r w:rsidRPr="00CB2E83">
        <w:rPr>
          <w:rFonts w:ascii="Times New Roman" w:eastAsiaTheme="minorHAnsi" w:hAnsi="Times New Roman" w:cs="Times New Roman"/>
          <w:b/>
          <w:bCs/>
          <w:sz w:val="20"/>
          <w:szCs w:val="20"/>
          <w:lang w:eastAsia="en-US"/>
        </w:rPr>
        <w:t xml:space="preserve">Identity </w:t>
      </w:r>
      <w:r w:rsidRPr="00CB2E83">
        <w:rPr>
          <w:rFonts w:ascii="Times New Roman" w:eastAsiaTheme="minorHAnsi" w:hAnsi="Times New Roman" w:cs="Times New Roman"/>
          <w:sz w:val="20"/>
          <w:szCs w:val="20"/>
          <w:lang w:eastAsia="en-US"/>
        </w:rPr>
        <w:t xml:space="preserve">–the work (or study) self.   This might include considering one’s identity as a leader or as a student in which efficacy, strengths and the skills needed to progress and develop, feelings of </w:t>
      </w:r>
      <w:proofErr w:type="spellStart"/>
      <w:r w:rsidRPr="00CB2E83">
        <w:rPr>
          <w:rFonts w:ascii="Times New Roman" w:eastAsiaTheme="minorHAnsi" w:hAnsi="Times New Roman" w:cs="Times New Roman"/>
          <w:sz w:val="20"/>
          <w:szCs w:val="20"/>
          <w:lang w:eastAsia="en-US"/>
        </w:rPr>
        <w:t>imposterism</w:t>
      </w:r>
      <w:proofErr w:type="spellEnd"/>
      <w:r w:rsidRPr="00CB2E83">
        <w:rPr>
          <w:rFonts w:ascii="Times New Roman" w:eastAsiaTheme="minorHAnsi" w:hAnsi="Times New Roman" w:cs="Times New Roman"/>
          <w:sz w:val="20"/>
          <w:szCs w:val="20"/>
          <w:lang w:eastAsia="en-US"/>
        </w:rPr>
        <w:t xml:space="preserve"> can all be explored.  </w:t>
      </w:r>
    </w:p>
    <w:p w14:paraId="630F1265"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r w:rsidRPr="00CB2E83">
        <w:rPr>
          <w:rFonts w:ascii="Times New Roman" w:eastAsiaTheme="minorHAnsi" w:hAnsi="Times New Roman" w:cs="Times New Roman"/>
          <w:b/>
          <w:bCs/>
          <w:sz w:val="20"/>
          <w:szCs w:val="20"/>
          <w:lang w:eastAsia="en-US"/>
        </w:rPr>
        <w:t>Ethics and power</w:t>
      </w:r>
      <w:r w:rsidRPr="00CB2E83">
        <w:rPr>
          <w:rFonts w:ascii="Times New Roman" w:eastAsiaTheme="minorHAnsi" w:hAnsi="Times New Roman" w:cs="Times New Roman"/>
          <w:sz w:val="20"/>
          <w:szCs w:val="20"/>
          <w:lang w:eastAsia="en-US"/>
        </w:rPr>
        <w:t xml:space="preserve"> –the nature of the organisation in which we work and what we do.  How do the existing power structures enable us to thrive or survive?  What are the power and ethical issues in our work or our research and the impact of our own biases? </w:t>
      </w:r>
    </w:p>
    <w:p w14:paraId="54418CF9"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p>
    <w:p w14:paraId="71CA15F4"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p>
    <w:p w14:paraId="70B92840"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p>
    <w:p w14:paraId="0A4A0DC6" w14:textId="77777777" w:rsidR="0051191D" w:rsidRPr="00CB2E83" w:rsidRDefault="0051191D" w:rsidP="0051191D">
      <w:pPr>
        <w:numPr>
          <w:ilvl w:val="0"/>
          <w:numId w:val="2"/>
        </w:numPr>
        <w:spacing w:line="240" w:lineRule="auto"/>
        <w:contextualSpacing/>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lastRenderedPageBreak/>
        <w:t xml:space="preserve">A model to facilitate personal development.  </w:t>
      </w:r>
    </w:p>
    <w:p w14:paraId="55FF1568"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The second issue is concerned with the lack of clarity in the literature around how ideas of self-awareness and self-assessment fit within the reflective practice construct.   </w:t>
      </w:r>
      <w:proofErr w:type="spellStart"/>
      <w:r w:rsidRPr="00CB2E83">
        <w:rPr>
          <w:rFonts w:ascii="Times New Roman" w:eastAsiaTheme="minorHAnsi" w:hAnsi="Times New Roman" w:cs="Times New Roman"/>
          <w:sz w:val="24"/>
          <w:szCs w:val="24"/>
          <w:lang w:eastAsia="en-US"/>
        </w:rPr>
        <w:t>Desjarlais</w:t>
      </w:r>
      <w:proofErr w:type="spellEnd"/>
      <w:r w:rsidRPr="00CB2E83">
        <w:rPr>
          <w:rFonts w:ascii="Times New Roman" w:eastAsiaTheme="minorHAnsi" w:hAnsi="Times New Roman" w:cs="Times New Roman"/>
          <w:sz w:val="24"/>
          <w:szCs w:val="24"/>
          <w:lang w:eastAsia="en-US"/>
        </w:rPr>
        <w:t xml:space="preserve"> and Smith (2011) consider it to be separate but related, although much of the literature remains unclear on the distinction.  Most of the most well-known models such as Johns (1995) and Gibbs (1988) were devised to focus on critical incident reflection in the development of professional practices.  Whilst this is valuable in the medical professions, teaching and social work, as it facilitates reflection on performing medical procedures, exploring a patient or client </w:t>
      </w:r>
      <w:proofErr w:type="gramStart"/>
      <w:r w:rsidRPr="00CB2E83">
        <w:rPr>
          <w:rFonts w:ascii="Times New Roman" w:eastAsiaTheme="minorHAnsi" w:hAnsi="Times New Roman" w:cs="Times New Roman"/>
          <w:sz w:val="24"/>
          <w:szCs w:val="24"/>
          <w:lang w:eastAsia="en-US"/>
        </w:rPr>
        <w:t>interaction</w:t>
      </w:r>
      <w:proofErr w:type="gramEnd"/>
      <w:r w:rsidRPr="00CB2E83">
        <w:rPr>
          <w:rFonts w:ascii="Times New Roman" w:eastAsiaTheme="minorHAnsi" w:hAnsi="Times New Roman" w:cs="Times New Roman"/>
          <w:sz w:val="24"/>
          <w:szCs w:val="24"/>
          <w:lang w:eastAsia="en-US"/>
        </w:rPr>
        <w:t xml:space="preserve"> or even teaching a class, but does not align so well with the self-development element of executive leadership where the starting point does not necessarily come from exploring an incident or interaction.   </w:t>
      </w:r>
    </w:p>
    <w:p w14:paraId="35E524A1"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p>
    <w:p w14:paraId="32BAF2E8" w14:textId="77777777" w:rsidR="0051191D" w:rsidRPr="00CB2E83" w:rsidRDefault="0051191D" w:rsidP="0051191D">
      <w:pPr>
        <w:spacing w:line="240" w:lineRule="auto"/>
        <w:contextualSpacing/>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t>Figure 2: The Bowden DEEP model.</w:t>
      </w:r>
    </w:p>
    <w:p w14:paraId="49056D85"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r w:rsidRPr="00CB2E83">
        <w:rPr>
          <w:rFonts w:ascii="Times New Roman" w:eastAsiaTheme="minorHAnsi" w:hAnsi="Times New Roman" w:cs="Times New Roman"/>
          <w:noProof/>
          <w:sz w:val="20"/>
          <w:szCs w:val="20"/>
          <w:lang w:eastAsia="en-US"/>
        </w:rPr>
        <w:drawing>
          <wp:anchor distT="0" distB="0" distL="114300" distR="114300" simplePos="0" relativeHeight="251660288" behindDoc="0" locked="0" layoutInCell="1" allowOverlap="1" wp14:anchorId="2AB4CF97" wp14:editId="758C9112">
            <wp:simplePos x="0" y="0"/>
            <wp:positionH relativeFrom="margin">
              <wp:align>left</wp:align>
            </wp:positionH>
            <wp:positionV relativeFrom="paragraph">
              <wp:posOffset>31958</wp:posOffset>
            </wp:positionV>
            <wp:extent cx="2422525" cy="2033270"/>
            <wp:effectExtent l="0" t="0" r="0" b="5080"/>
            <wp:wrapThrough wrapText="bothSides">
              <wp:wrapPolygon edited="0">
                <wp:start x="0" y="0"/>
                <wp:lineTo x="0" y="21452"/>
                <wp:lineTo x="21402" y="21452"/>
                <wp:lineTo x="21402" y="0"/>
                <wp:lineTo x="0" y="0"/>
              </wp:wrapPolygon>
            </wp:wrapThrough>
            <wp:docPr id="2058414682" name="Picture 205841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10655"/>
                    <a:stretch/>
                  </pic:blipFill>
                  <pic:spPr bwMode="auto">
                    <a:xfrm>
                      <a:off x="0" y="0"/>
                      <a:ext cx="2422525" cy="203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2E83">
        <w:rPr>
          <w:rFonts w:ascii="Times New Roman" w:eastAsiaTheme="minorHAnsi" w:hAnsi="Times New Roman" w:cs="Times New Roman"/>
          <w:sz w:val="20"/>
          <w:szCs w:val="20"/>
          <w:lang w:eastAsia="en-US"/>
        </w:rPr>
        <w:t xml:space="preserve">As experienced professionals MBAs and DBAs are already more primed to consider their own strengths or shortcomings and they access feedback from others in the workplace and while on their courses </w:t>
      </w:r>
      <w:proofErr w:type="spellStart"/>
      <w:proofErr w:type="gramStart"/>
      <w:r w:rsidRPr="00CB2E83">
        <w:rPr>
          <w:rFonts w:ascii="Times New Roman" w:eastAsiaTheme="minorHAnsi" w:hAnsi="Times New Roman" w:cs="Times New Roman"/>
          <w:sz w:val="20"/>
          <w:szCs w:val="20"/>
          <w:lang w:eastAsia="en-US"/>
        </w:rPr>
        <w:t>eg</w:t>
      </w:r>
      <w:proofErr w:type="spellEnd"/>
      <w:proofErr w:type="gramEnd"/>
      <w:r w:rsidRPr="00CB2E83">
        <w:rPr>
          <w:rFonts w:ascii="Times New Roman" w:eastAsiaTheme="minorHAnsi" w:hAnsi="Times New Roman" w:cs="Times New Roman"/>
          <w:sz w:val="20"/>
          <w:szCs w:val="20"/>
          <w:lang w:eastAsia="en-US"/>
        </w:rPr>
        <w:t xml:space="preserve"> DBAs from their supervisors and MBAs from 360s (or other psychometric tests).  This is not to say that reflecting on critical incidents cannot be part of this development, but to my mind it is only one part of the richness of reflective possibilities.  </w:t>
      </w:r>
    </w:p>
    <w:p w14:paraId="70476CD7" w14:textId="77777777" w:rsidR="0051191D" w:rsidRPr="00CB2E83" w:rsidRDefault="0051191D" w:rsidP="0051191D">
      <w:pPr>
        <w:spacing w:line="240" w:lineRule="auto"/>
        <w:contextualSpacing/>
        <w:rPr>
          <w:rFonts w:ascii="Times New Roman" w:eastAsiaTheme="minorHAnsi" w:hAnsi="Times New Roman" w:cs="Times New Roman"/>
          <w:sz w:val="20"/>
          <w:szCs w:val="20"/>
          <w:lang w:eastAsia="en-US"/>
        </w:rPr>
      </w:pPr>
      <w:r w:rsidRPr="00CB2E83">
        <w:rPr>
          <w:rFonts w:ascii="Times New Roman" w:eastAsiaTheme="minorHAnsi" w:hAnsi="Times New Roman" w:cs="Times New Roman"/>
          <w:sz w:val="20"/>
          <w:szCs w:val="20"/>
          <w:lang w:eastAsia="en-US"/>
        </w:rPr>
        <w:t xml:space="preserve">In 2021 I created the Bowden DEEP model (Figure 2) based on the ideas of double loop learning (Argyris, 1977) with the purpose of offering a clear structure for reflecting on self-development from various sources of feedback </w:t>
      </w:r>
      <w:proofErr w:type="spellStart"/>
      <w:proofErr w:type="gramStart"/>
      <w:r w:rsidRPr="00CB2E83">
        <w:rPr>
          <w:rFonts w:ascii="Times New Roman" w:eastAsiaTheme="minorHAnsi" w:hAnsi="Times New Roman" w:cs="Times New Roman"/>
          <w:sz w:val="20"/>
          <w:szCs w:val="20"/>
          <w:lang w:eastAsia="en-US"/>
        </w:rPr>
        <w:t>eg</w:t>
      </w:r>
      <w:proofErr w:type="spellEnd"/>
      <w:proofErr w:type="gramEnd"/>
      <w:r w:rsidRPr="00CB2E83">
        <w:rPr>
          <w:rFonts w:ascii="Times New Roman" w:eastAsiaTheme="minorHAnsi" w:hAnsi="Times New Roman" w:cs="Times New Roman"/>
          <w:sz w:val="20"/>
          <w:szCs w:val="20"/>
          <w:lang w:eastAsia="en-US"/>
        </w:rPr>
        <w:t xml:space="preserve"> from own musings, mentors or supervisors, 360s, appraisals, performance reviews and other psychometric tools.   </w:t>
      </w:r>
    </w:p>
    <w:p w14:paraId="7F277906"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p>
    <w:p w14:paraId="285AE460"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p>
    <w:p w14:paraId="41F800D4" w14:textId="77777777" w:rsidR="0051191D" w:rsidRPr="00CB2E83" w:rsidRDefault="0051191D" w:rsidP="0051191D">
      <w:pPr>
        <w:numPr>
          <w:ilvl w:val="0"/>
          <w:numId w:val="2"/>
        </w:numPr>
        <w:spacing w:line="240" w:lineRule="auto"/>
        <w:contextualSpacing/>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t xml:space="preserve">An alternative to journaling </w:t>
      </w:r>
    </w:p>
    <w:p w14:paraId="6244A991"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Keeping a reflective journal is the default suggested method for engaging in reflective practice (Bolton and </w:t>
      </w:r>
      <w:proofErr w:type="spellStart"/>
      <w:r w:rsidRPr="00CB2E83">
        <w:rPr>
          <w:rFonts w:ascii="Times New Roman" w:eastAsiaTheme="minorHAnsi" w:hAnsi="Times New Roman" w:cs="Times New Roman"/>
          <w:sz w:val="24"/>
          <w:szCs w:val="24"/>
          <w:lang w:eastAsia="en-US"/>
        </w:rPr>
        <w:t>Delderfield</w:t>
      </w:r>
      <w:proofErr w:type="spellEnd"/>
      <w:r w:rsidRPr="00CB2E83">
        <w:rPr>
          <w:rFonts w:ascii="Times New Roman" w:eastAsiaTheme="minorHAnsi" w:hAnsi="Times New Roman" w:cs="Times New Roman"/>
          <w:sz w:val="24"/>
          <w:szCs w:val="24"/>
          <w:lang w:eastAsia="en-US"/>
        </w:rPr>
        <w:t xml:space="preserve">, 2018; Brookfield, 1998; Griggs et al 2018; Moon, 2001).  From my own experiences on the DBA, it can be useful, but is time consuming and generates so much unwieldy detail that it is difficult to unpack and make sense of.  Various research has identified time as the main barrier to engaging in reflection (Finlay, 2008; Gibbs et al, 2018).     </w:t>
      </w:r>
    </w:p>
    <w:p w14:paraId="7F2A16BC" w14:textId="77777777" w:rsidR="0051191D" w:rsidRPr="00CB2E83" w:rsidRDefault="0051191D" w:rsidP="0051191D">
      <w:pPr>
        <w:shd w:val="clear" w:color="auto" w:fill="FFFFFF"/>
        <w:spacing w:before="100" w:beforeAutospacing="1" w:after="100" w:afterAutospacing="1" w:line="240" w:lineRule="auto"/>
        <w:rPr>
          <w:rFonts w:ascii="Times New Roman" w:eastAsiaTheme="minorHAnsi" w:hAnsi="Times New Roman" w:cs="Times New Roman"/>
          <w:color w:val="222222"/>
          <w:sz w:val="24"/>
          <w:szCs w:val="24"/>
          <w:shd w:val="clear" w:color="auto" w:fill="FFFFFF"/>
          <w:lang w:eastAsia="en-US"/>
        </w:rPr>
      </w:pPr>
      <w:r w:rsidRPr="00CB2E83">
        <w:rPr>
          <w:rFonts w:ascii="Times New Roman" w:eastAsiaTheme="minorHAnsi" w:hAnsi="Times New Roman" w:cs="Times New Roman"/>
          <w:sz w:val="24"/>
          <w:szCs w:val="24"/>
          <w:lang w:eastAsia="en-US"/>
        </w:rPr>
        <w:t>As an alternative, photo-voice (</w:t>
      </w:r>
      <w:r w:rsidRPr="00CB2E83">
        <w:rPr>
          <w:rFonts w:ascii="Times New Roman" w:eastAsiaTheme="minorHAnsi" w:hAnsi="Times New Roman" w:cs="Times New Roman"/>
          <w:color w:val="222222"/>
          <w:sz w:val="24"/>
          <w:szCs w:val="24"/>
          <w:shd w:val="clear" w:color="auto" w:fill="FFFFFF"/>
          <w:lang w:eastAsia="en-US"/>
        </w:rPr>
        <w:t xml:space="preserve">Wang and Burris, 1997), </w:t>
      </w:r>
      <w:r w:rsidRPr="00CB2E83">
        <w:rPr>
          <w:rFonts w:ascii="Times New Roman" w:eastAsiaTheme="minorHAnsi" w:hAnsi="Times New Roman" w:cs="Times New Roman"/>
          <w:sz w:val="24"/>
          <w:szCs w:val="24"/>
          <w:lang w:eastAsia="en-US"/>
        </w:rPr>
        <w:t xml:space="preserve">used as a qualitative research methodology to explore underpinning narratives, works just as well as a reflective tool.   Using photographs and images as a way of gaining deeper self-insights and unlocking previously unexplored self-schemas. </w:t>
      </w:r>
      <w:r w:rsidRPr="00CB2E83">
        <w:rPr>
          <w:rFonts w:ascii="Times New Roman" w:eastAsiaTheme="minorHAnsi" w:hAnsi="Times New Roman" w:cs="Times New Roman"/>
          <w:color w:val="222222"/>
          <w:sz w:val="24"/>
          <w:szCs w:val="24"/>
          <w:shd w:val="clear" w:color="auto" w:fill="FFFFFF"/>
          <w:lang w:eastAsia="en-US"/>
        </w:rPr>
        <w:t xml:space="preserve">There are several protocols used to unpack the learning from photovoice narratives </w:t>
      </w:r>
      <w:proofErr w:type="spellStart"/>
      <w:proofErr w:type="gramStart"/>
      <w:r w:rsidRPr="00CB2E83">
        <w:rPr>
          <w:rFonts w:ascii="Times New Roman" w:eastAsiaTheme="minorHAnsi" w:hAnsi="Times New Roman" w:cs="Times New Roman"/>
          <w:color w:val="222222"/>
          <w:sz w:val="24"/>
          <w:szCs w:val="24"/>
          <w:shd w:val="clear" w:color="auto" w:fill="FFFFFF"/>
          <w:lang w:eastAsia="en-US"/>
        </w:rPr>
        <w:t>eg</w:t>
      </w:r>
      <w:proofErr w:type="spellEnd"/>
      <w:proofErr w:type="gramEnd"/>
      <w:r w:rsidRPr="00CB2E83">
        <w:rPr>
          <w:rFonts w:ascii="Times New Roman" w:eastAsiaTheme="minorHAnsi" w:hAnsi="Times New Roman" w:cs="Times New Roman"/>
          <w:color w:val="222222"/>
          <w:sz w:val="24"/>
          <w:szCs w:val="24"/>
          <w:shd w:val="clear" w:color="auto" w:fill="FFFFFF"/>
          <w:lang w:eastAsia="en-US"/>
        </w:rPr>
        <w:t xml:space="preserve"> Horwitz (2012) PHOTO protocols.   </w:t>
      </w:r>
    </w:p>
    <w:p w14:paraId="0CB71C31" w14:textId="77777777" w:rsidR="0051191D" w:rsidRPr="00CB2E83" w:rsidRDefault="0051191D" w:rsidP="0051191D">
      <w:pPr>
        <w:shd w:val="clear" w:color="auto" w:fill="FFFFFF"/>
        <w:spacing w:before="100" w:beforeAutospacing="1" w:after="100" w:afterAutospacing="1" w:line="240" w:lineRule="auto"/>
        <w:rPr>
          <w:rFonts w:ascii="Times New Roman" w:eastAsiaTheme="minorHAnsi" w:hAnsi="Times New Roman" w:cs="Times New Roman"/>
          <w:b/>
          <w:bCs/>
          <w:color w:val="222222"/>
          <w:sz w:val="24"/>
          <w:szCs w:val="24"/>
          <w:shd w:val="clear" w:color="auto" w:fill="FFFFFF"/>
          <w:lang w:eastAsia="en-US"/>
        </w:rPr>
      </w:pPr>
      <w:r w:rsidRPr="00CB2E83">
        <w:rPr>
          <w:rFonts w:ascii="Times New Roman" w:eastAsiaTheme="minorHAnsi" w:hAnsi="Times New Roman" w:cs="Times New Roman"/>
          <w:b/>
          <w:bCs/>
          <w:color w:val="222222"/>
          <w:sz w:val="24"/>
          <w:szCs w:val="24"/>
          <w:shd w:val="clear" w:color="auto" w:fill="FFFFFF"/>
          <w:lang w:eastAsia="en-US"/>
        </w:rPr>
        <w:t xml:space="preserve">Figure 3: The WHAT protocols for using creative reflective </w:t>
      </w:r>
      <w:proofErr w:type="gramStart"/>
      <w:r w:rsidRPr="00CB2E83">
        <w:rPr>
          <w:rFonts w:ascii="Times New Roman" w:eastAsiaTheme="minorHAnsi" w:hAnsi="Times New Roman" w:cs="Times New Roman"/>
          <w:b/>
          <w:bCs/>
          <w:color w:val="222222"/>
          <w:sz w:val="24"/>
          <w:szCs w:val="24"/>
          <w:shd w:val="clear" w:color="auto" w:fill="FFFFFF"/>
          <w:lang w:eastAsia="en-US"/>
        </w:rPr>
        <w:t>techniques</w:t>
      </w:r>
      <w:proofErr w:type="gramEnd"/>
    </w:p>
    <w:p w14:paraId="67C13ADF" w14:textId="77777777" w:rsidR="0051191D" w:rsidRPr="00CB2E83" w:rsidRDefault="0051191D" w:rsidP="0051191D">
      <w:pPr>
        <w:shd w:val="clear" w:color="auto" w:fill="FFFFFF"/>
        <w:spacing w:before="100" w:beforeAutospacing="1" w:after="100" w:afterAutospacing="1" w:line="240" w:lineRule="auto"/>
        <w:rPr>
          <w:rFonts w:ascii="Times New Roman" w:eastAsiaTheme="minorHAnsi" w:hAnsi="Times New Roman" w:cs="Times New Roman"/>
          <w:color w:val="2D3B45"/>
          <w:sz w:val="24"/>
          <w:szCs w:val="24"/>
          <w:lang w:eastAsia="en-US"/>
        </w:rPr>
      </w:pPr>
      <w:r w:rsidRPr="00CB2E83">
        <w:rPr>
          <w:rFonts w:eastAsiaTheme="minorHAnsi"/>
          <w:noProof/>
          <w:lang w:eastAsia="en-US"/>
        </w:rPr>
        <w:drawing>
          <wp:anchor distT="0" distB="0" distL="114300" distR="114300" simplePos="0" relativeHeight="251661312" behindDoc="0" locked="0" layoutInCell="1" allowOverlap="1" wp14:anchorId="2CA648BD" wp14:editId="02415567">
            <wp:simplePos x="0" y="0"/>
            <wp:positionH relativeFrom="margin">
              <wp:align>left</wp:align>
            </wp:positionH>
            <wp:positionV relativeFrom="paragraph">
              <wp:posOffset>-168275</wp:posOffset>
            </wp:positionV>
            <wp:extent cx="2292350" cy="1718945"/>
            <wp:effectExtent l="0" t="0" r="0" b="0"/>
            <wp:wrapSquare wrapText="bothSides"/>
            <wp:docPr id="755822166" name="Picture 755822166" descr="A blue and white diagram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22166" name="Picture 1" descr="A blue and white diagram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2350" cy="1718945"/>
                    </a:xfrm>
                    <a:prstGeom prst="rect">
                      <a:avLst/>
                    </a:prstGeom>
                  </pic:spPr>
                </pic:pic>
              </a:graphicData>
            </a:graphic>
            <wp14:sizeRelH relativeFrom="margin">
              <wp14:pctWidth>0</wp14:pctWidth>
            </wp14:sizeRelH>
            <wp14:sizeRelV relativeFrom="margin">
              <wp14:pctHeight>0</wp14:pctHeight>
            </wp14:sizeRelV>
          </wp:anchor>
        </w:drawing>
      </w:r>
      <w:r w:rsidRPr="00CB2E83">
        <w:rPr>
          <w:rFonts w:ascii="Times New Roman" w:eastAsiaTheme="minorHAnsi" w:hAnsi="Times New Roman" w:cs="Times New Roman"/>
          <w:color w:val="222222"/>
          <w:sz w:val="24"/>
          <w:szCs w:val="24"/>
          <w:shd w:val="clear" w:color="auto" w:fill="FFFFFF"/>
          <w:lang w:eastAsia="en-US"/>
        </w:rPr>
        <w:t xml:space="preserve">I have adapted this to something that better facilitates sensemaking in the reflective practice domain and used the acronym WHAT (Figure 3).  The </w:t>
      </w:r>
      <w:r w:rsidRPr="00CB2E83">
        <w:rPr>
          <w:rFonts w:ascii="Times New Roman" w:eastAsiaTheme="minorHAnsi" w:hAnsi="Times New Roman" w:cs="Times New Roman"/>
          <w:color w:val="2D3B45"/>
          <w:sz w:val="24"/>
          <w:szCs w:val="24"/>
          <w:lang w:eastAsia="en-US"/>
        </w:rPr>
        <w:t xml:space="preserve">word ‘what’ has an interrogative meaning and asks us to question the meaning, identity or proposition, value of something, which is at the heart of self-reflection.  </w:t>
      </w:r>
    </w:p>
    <w:p w14:paraId="7AFC6A41" w14:textId="77777777" w:rsidR="0051191D" w:rsidRPr="00CB2E83" w:rsidRDefault="0051191D" w:rsidP="0051191D">
      <w:pPr>
        <w:shd w:val="clear" w:color="auto" w:fill="FFFFFF"/>
        <w:spacing w:before="100" w:beforeAutospacing="1" w:after="100" w:afterAutospacing="1" w:line="240" w:lineRule="auto"/>
        <w:rPr>
          <w:rFonts w:ascii="Times New Roman" w:eastAsiaTheme="minorHAnsi" w:hAnsi="Times New Roman" w:cs="Times New Roman"/>
          <w:color w:val="2D3B45"/>
          <w:sz w:val="24"/>
          <w:szCs w:val="24"/>
          <w:lang w:eastAsia="en-US"/>
        </w:rPr>
      </w:pPr>
      <w:r w:rsidRPr="00CB2E83">
        <w:rPr>
          <w:rFonts w:ascii="Times New Roman" w:eastAsiaTheme="minorHAnsi" w:hAnsi="Times New Roman" w:cs="Times New Roman"/>
          <w:color w:val="2D3B45"/>
          <w:sz w:val="24"/>
          <w:szCs w:val="24"/>
          <w:lang w:eastAsia="en-US"/>
        </w:rPr>
        <w:t xml:space="preserve">To use the WHAT technique requires the selection of </w:t>
      </w:r>
      <w:r w:rsidRPr="00CB2E83">
        <w:rPr>
          <w:rFonts w:ascii="Times New Roman" w:eastAsiaTheme="minorHAnsi" w:hAnsi="Times New Roman" w:cs="Times New Roman"/>
          <w:color w:val="2D3B45"/>
          <w:sz w:val="24"/>
          <w:szCs w:val="24"/>
          <w:lang w:eastAsia="en-US"/>
        </w:rPr>
        <w:lastRenderedPageBreak/>
        <w:t>a photograph or image (this can be applied to music, sounds, poetry, memes, artefacts,</w:t>
      </w:r>
      <w:r w:rsidRPr="00CB2E83">
        <w:rPr>
          <w:rFonts w:ascii="Times New Roman" w:eastAsiaTheme="minorHAnsi" w:hAnsi="Times New Roman" w:cs="Times New Roman"/>
          <w:color w:val="4D5156"/>
          <w:sz w:val="24"/>
          <w:szCs w:val="24"/>
          <w:shd w:val="clear" w:color="auto" w:fill="FFFFFF"/>
          <w:lang w:eastAsia="en-US"/>
        </w:rPr>
        <w:t xml:space="preserve"> </w:t>
      </w:r>
      <w:proofErr w:type="spellStart"/>
      <w:r w:rsidRPr="00CB2E83">
        <w:rPr>
          <w:rFonts w:ascii="Times New Roman" w:eastAsiaTheme="minorHAnsi" w:hAnsi="Times New Roman" w:cs="Times New Roman"/>
          <w:color w:val="4D5156"/>
          <w:sz w:val="24"/>
          <w:szCs w:val="24"/>
          <w:shd w:val="clear" w:color="auto" w:fill="FFFFFF"/>
          <w:lang w:eastAsia="en-US"/>
        </w:rPr>
        <w:t>dérive</w:t>
      </w:r>
      <w:proofErr w:type="spellEnd"/>
      <w:r w:rsidRPr="00CB2E83">
        <w:rPr>
          <w:rFonts w:ascii="Times New Roman" w:eastAsiaTheme="minorHAnsi" w:hAnsi="Times New Roman" w:cs="Times New Roman"/>
          <w:color w:val="2D3B45"/>
          <w:sz w:val="24"/>
          <w:szCs w:val="24"/>
          <w:lang w:eastAsia="en-US"/>
        </w:rPr>
        <w:t xml:space="preserve"> walks) and the participant works their way through the WHAT protocol questions.  This can be a free association with whatever comes to mind, or reflections can be on a particular theme </w:t>
      </w:r>
      <w:proofErr w:type="spellStart"/>
      <w:proofErr w:type="gramStart"/>
      <w:r w:rsidRPr="00CB2E83">
        <w:rPr>
          <w:rFonts w:ascii="Times New Roman" w:eastAsiaTheme="minorHAnsi" w:hAnsi="Times New Roman" w:cs="Times New Roman"/>
          <w:color w:val="2D3B45"/>
          <w:sz w:val="24"/>
          <w:szCs w:val="24"/>
          <w:lang w:eastAsia="en-US"/>
        </w:rPr>
        <w:t>eg</w:t>
      </w:r>
      <w:proofErr w:type="spellEnd"/>
      <w:proofErr w:type="gramEnd"/>
      <w:r w:rsidRPr="00CB2E83">
        <w:rPr>
          <w:rFonts w:ascii="Times New Roman" w:eastAsiaTheme="minorHAnsi" w:hAnsi="Times New Roman" w:cs="Times New Roman"/>
          <w:color w:val="2D3B45"/>
          <w:sz w:val="24"/>
          <w:szCs w:val="24"/>
          <w:lang w:eastAsia="en-US"/>
        </w:rPr>
        <w:t xml:space="preserve"> confidence.</w:t>
      </w:r>
    </w:p>
    <w:p w14:paraId="4085395F" w14:textId="77777777" w:rsidR="0051191D" w:rsidRPr="00CB2E83" w:rsidRDefault="0051191D" w:rsidP="0051191D">
      <w:pPr>
        <w:spacing w:line="240" w:lineRule="auto"/>
        <w:contextualSpacing/>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t>Conclusion</w:t>
      </w:r>
    </w:p>
    <w:p w14:paraId="51F6D1CB"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Finlay summarised the difficulties of reflection ‘The problem with reflective practice is that it is hard to do and equally hard to teach.  It is even harder to do and teach </w:t>
      </w:r>
      <w:r w:rsidRPr="00CB2E83">
        <w:rPr>
          <w:rFonts w:ascii="Times New Roman" w:eastAsiaTheme="minorHAnsi" w:hAnsi="Times New Roman" w:cs="Times New Roman"/>
          <w:i/>
          <w:sz w:val="24"/>
          <w:szCs w:val="24"/>
          <w:lang w:eastAsia="en-US"/>
        </w:rPr>
        <w:t>effectively’.</w:t>
      </w:r>
      <w:r w:rsidRPr="00CB2E83">
        <w:rPr>
          <w:rFonts w:ascii="Times New Roman" w:eastAsiaTheme="minorHAnsi" w:hAnsi="Times New Roman" w:cs="Times New Roman"/>
          <w:sz w:val="24"/>
          <w:szCs w:val="24"/>
          <w:lang w:eastAsia="en-US"/>
        </w:rPr>
        <w:t xml:space="preserve"> (2008 p 15).  This is even more complex in the management and business domain and especially at the executive level of MBA and DBA students.  I would like to hope that my ideas and suggestions could add some clarity to the existent body of writing on the topic.    </w:t>
      </w:r>
    </w:p>
    <w:p w14:paraId="04DB4240" w14:textId="77777777" w:rsidR="0051191D" w:rsidRPr="00CB2E83" w:rsidRDefault="0051191D" w:rsidP="0051191D">
      <w:pPr>
        <w:spacing w:line="240" w:lineRule="auto"/>
        <w:contextualSpacing/>
        <w:rPr>
          <w:rFonts w:ascii="Times New Roman" w:eastAsiaTheme="minorHAnsi" w:hAnsi="Times New Roman" w:cs="Times New Roman"/>
          <w:sz w:val="24"/>
          <w:szCs w:val="24"/>
          <w:lang w:eastAsia="en-US"/>
        </w:rPr>
      </w:pPr>
    </w:p>
    <w:p w14:paraId="6A893B22" w14:textId="77777777" w:rsidR="0051191D" w:rsidRPr="00CB2E83" w:rsidRDefault="0051191D" w:rsidP="0051191D">
      <w:pPr>
        <w:spacing w:line="240" w:lineRule="auto"/>
        <w:rPr>
          <w:rFonts w:ascii="Times New Roman" w:eastAsiaTheme="minorHAnsi" w:hAnsi="Times New Roman" w:cs="Times New Roman"/>
          <w:b/>
          <w:bCs/>
          <w:sz w:val="24"/>
          <w:szCs w:val="24"/>
          <w:lang w:eastAsia="en-US"/>
        </w:rPr>
      </w:pPr>
      <w:r w:rsidRPr="00CB2E83">
        <w:rPr>
          <w:rFonts w:ascii="Times New Roman" w:eastAsiaTheme="minorHAnsi" w:hAnsi="Times New Roman" w:cs="Times New Roman"/>
          <w:b/>
          <w:bCs/>
          <w:sz w:val="24"/>
          <w:szCs w:val="24"/>
          <w:lang w:eastAsia="en-US"/>
        </w:rPr>
        <w:t>References:</w:t>
      </w:r>
    </w:p>
    <w:p w14:paraId="2DAE75CC" w14:textId="77777777" w:rsidR="0051191D" w:rsidRPr="00CB2E83" w:rsidRDefault="0051191D" w:rsidP="0051191D">
      <w:pPr>
        <w:spacing w:line="240" w:lineRule="auto"/>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Argyris, C. (1977) Double Loop learning in Organisations. </w:t>
      </w:r>
      <w:r w:rsidRPr="00CB2E83">
        <w:rPr>
          <w:rFonts w:ascii="Times New Roman" w:eastAsiaTheme="minorHAnsi" w:hAnsi="Times New Roman" w:cs="Times New Roman"/>
          <w:i/>
          <w:iCs/>
          <w:sz w:val="24"/>
          <w:szCs w:val="24"/>
          <w:lang w:eastAsia="en-US"/>
        </w:rPr>
        <w:t>Harvard Business Review</w:t>
      </w:r>
      <w:r w:rsidRPr="00CB2E83">
        <w:rPr>
          <w:rFonts w:ascii="Times New Roman" w:eastAsiaTheme="minorHAnsi" w:hAnsi="Times New Roman" w:cs="Times New Roman"/>
          <w:sz w:val="24"/>
          <w:szCs w:val="24"/>
          <w:lang w:eastAsia="en-US"/>
        </w:rPr>
        <w:t xml:space="preserve"> Sept 1977.</w:t>
      </w:r>
    </w:p>
    <w:p w14:paraId="18E9E2E9" w14:textId="77777777" w:rsidR="0051191D" w:rsidRPr="00CB2E83" w:rsidRDefault="0051191D" w:rsidP="0051191D">
      <w:pPr>
        <w:spacing w:line="240" w:lineRule="auto"/>
        <w:rPr>
          <w:rFonts w:ascii="Times New Roman" w:eastAsiaTheme="minorHAnsi" w:hAnsi="Times New Roman" w:cs="Times New Roman"/>
          <w:i/>
          <w:iCs/>
          <w:sz w:val="24"/>
          <w:szCs w:val="24"/>
          <w:lang w:eastAsia="en-US"/>
        </w:rPr>
      </w:pPr>
      <w:r w:rsidRPr="00CB2E83">
        <w:rPr>
          <w:rFonts w:ascii="Times New Roman" w:eastAsiaTheme="minorHAnsi" w:hAnsi="Times New Roman" w:cs="Times New Roman"/>
          <w:sz w:val="24"/>
          <w:szCs w:val="24"/>
          <w:lang w:eastAsia="en-US"/>
        </w:rPr>
        <w:t xml:space="preserve">Bolton, G., and </w:t>
      </w:r>
      <w:proofErr w:type="spellStart"/>
      <w:r w:rsidRPr="00CB2E83">
        <w:rPr>
          <w:rFonts w:ascii="Times New Roman" w:eastAsiaTheme="minorHAnsi" w:hAnsi="Times New Roman" w:cs="Times New Roman"/>
          <w:sz w:val="24"/>
          <w:szCs w:val="24"/>
          <w:lang w:eastAsia="en-US"/>
        </w:rPr>
        <w:t>Delderfield</w:t>
      </w:r>
      <w:proofErr w:type="spellEnd"/>
      <w:r w:rsidRPr="00CB2E83">
        <w:rPr>
          <w:rFonts w:ascii="Times New Roman" w:eastAsiaTheme="minorHAnsi" w:hAnsi="Times New Roman" w:cs="Times New Roman"/>
          <w:sz w:val="24"/>
          <w:szCs w:val="24"/>
          <w:lang w:eastAsia="en-US"/>
        </w:rPr>
        <w:t xml:space="preserve">, R. (2018) </w:t>
      </w:r>
      <w:r w:rsidRPr="00CB2E83">
        <w:rPr>
          <w:rFonts w:ascii="Times New Roman" w:eastAsiaTheme="minorHAnsi" w:hAnsi="Times New Roman" w:cs="Times New Roman"/>
          <w:i/>
          <w:iCs/>
          <w:sz w:val="24"/>
          <w:szCs w:val="24"/>
          <w:lang w:eastAsia="en-US"/>
        </w:rPr>
        <w:t xml:space="preserve">Reflective Practice: writing and Professional Development.  </w:t>
      </w:r>
      <w:r w:rsidRPr="00CB2E83">
        <w:rPr>
          <w:rFonts w:ascii="Times New Roman" w:eastAsiaTheme="minorHAnsi" w:hAnsi="Times New Roman" w:cs="Times New Roman"/>
          <w:sz w:val="24"/>
          <w:szCs w:val="24"/>
          <w:lang w:eastAsia="en-US"/>
        </w:rPr>
        <w:t>5</w:t>
      </w:r>
      <w:r w:rsidRPr="00CB2E83">
        <w:rPr>
          <w:rFonts w:ascii="Times New Roman" w:eastAsiaTheme="minorHAnsi" w:hAnsi="Times New Roman" w:cs="Times New Roman"/>
          <w:sz w:val="24"/>
          <w:szCs w:val="24"/>
          <w:vertAlign w:val="superscript"/>
          <w:lang w:eastAsia="en-US"/>
        </w:rPr>
        <w:t>th</w:t>
      </w:r>
      <w:r w:rsidRPr="00CB2E83">
        <w:rPr>
          <w:rFonts w:ascii="Times New Roman" w:eastAsiaTheme="minorHAnsi" w:hAnsi="Times New Roman" w:cs="Times New Roman"/>
          <w:sz w:val="24"/>
          <w:szCs w:val="24"/>
          <w:lang w:eastAsia="en-US"/>
        </w:rPr>
        <w:t xml:space="preserve"> Edition, Sage.</w:t>
      </w:r>
    </w:p>
    <w:p w14:paraId="5FB2C947" w14:textId="77777777" w:rsidR="0051191D" w:rsidRPr="00CB2E83" w:rsidRDefault="0051191D" w:rsidP="0051191D">
      <w:pPr>
        <w:spacing w:line="240" w:lineRule="auto"/>
        <w:rPr>
          <w:rFonts w:ascii="Times New Roman" w:eastAsiaTheme="minorHAnsi" w:hAnsi="Times New Roman" w:cs="Times New Roman"/>
          <w:sz w:val="24"/>
          <w:szCs w:val="24"/>
          <w:lang w:eastAsia="en-US"/>
        </w:rPr>
      </w:pPr>
      <w:proofErr w:type="spellStart"/>
      <w:r w:rsidRPr="00CB2E83">
        <w:rPr>
          <w:rFonts w:ascii="Times New Roman" w:eastAsiaTheme="minorHAnsi" w:hAnsi="Times New Roman" w:cs="Times New Roman"/>
          <w:sz w:val="24"/>
          <w:szCs w:val="24"/>
          <w:lang w:eastAsia="en-US"/>
        </w:rPr>
        <w:t>Desjarlais</w:t>
      </w:r>
      <w:proofErr w:type="spellEnd"/>
      <w:r w:rsidRPr="00CB2E83">
        <w:rPr>
          <w:rFonts w:ascii="Times New Roman" w:eastAsiaTheme="minorHAnsi" w:hAnsi="Times New Roman" w:cs="Times New Roman"/>
          <w:sz w:val="24"/>
          <w:szCs w:val="24"/>
          <w:lang w:eastAsia="en-US"/>
        </w:rPr>
        <w:t xml:space="preserve">, M., and Smith, P.  (2011) A Comparative Analysis of Reflection and Self-Assessment. </w:t>
      </w:r>
      <w:r w:rsidRPr="00CB2E83">
        <w:rPr>
          <w:rFonts w:ascii="Times New Roman" w:eastAsiaTheme="minorHAnsi" w:hAnsi="Times New Roman" w:cs="Times New Roman"/>
          <w:i/>
          <w:iCs/>
          <w:sz w:val="24"/>
          <w:szCs w:val="24"/>
          <w:lang w:eastAsia="en-US"/>
        </w:rPr>
        <w:t>International Journal of Process Education</w:t>
      </w:r>
      <w:r w:rsidRPr="00CB2E83">
        <w:rPr>
          <w:rFonts w:ascii="Times New Roman" w:eastAsiaTheme="minorHAnsi" w:hAnsi="Times New Roman" w:cs="Times New Roman"/>
          <w:sz w:val="24"/>
          <w:szCs w:val="24"/>
          <w:lang w:eastAsia="en-US"/>
        </w:rPr>
        <w:t xml:space="preserve"> (June 2011, Vol 3 Issue 1).</w:t>
      </w:r>
    </w:p>
    <w:p w14:paraId="68E09151" w14:textId="77777777" w:rsidR="0051191D" w:rsidRPr="00CB2E83" w:rsidRDefault="0051191D" w:rsidP="0051191D">
      <w:pPr>
        <w:spacing w:line="240" w:lineRule="auto"/>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Finlay, L. (2008) Reflecting on Reflective Practice.  A discussion paper for Practice Based Professional Learning Centre, paper 52, The Open University. </w:t>
      </w:r>
    </w:p>
    <w:p w14:paraId="0A33B92E" w14:textId="77777777" w:rsidR="0051191D" w:rsidRPr="00CB2E83" w:rsidRDefault="0051191D" w:rsidP="0051191D">
      <w:pPr>
        <w:spacing w:line="240" w:lineRule="auto"/>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Fook, J., and Gardner, F. (2007) </w:t>
      </w:r>
      <w:r w:rsidRPr="00CB2E83">
        <w:rPr>
          <w:rFonts w:ascii="Times New Roman" w:eastAsiaTheme="minorHAnsi" w:hAnsi="Times New Roman" w:cs="Times New Roman"/>
          <w:i/>
          <w:iCs/>
          <w:sz w:val="24"/>
          <w:szCs w:val="24"/>
          <w:lang w:eastAsia="en-US"/>
        </w:rPr>
        <w:t>Practicing Critical Reflection: A Resource Handbook</w:t>
      </w:r>
      <w:r w:rsidRPr="00CB2E83">
        <w:rPr>
          <w:rFonts w:ascii="Times New Roman" w:eastAsiaTheme="minorHAnsi" w:hAnsi="Times New Roman" w:cs="Times New Roman"/>
          <w:sz w:val="24"/>
          <w:szCs w:val="24"/>
          <w:lang w:eastAsia="en-US"/>
        </w:rPr>
        <w:t>. Open University Press, McGraw Hill Education.</w:t>
      </w:r>
    </w:p>
    <w:p w14:paraId="7D53CAA3" w14:textId="77777777" w:rsidR="0051191D" w:rsidRPr="00CB2E83" w:rsidRDefault="0051191D" w:rsidP="0051191D">
      <w:pPr>
        <w:spacing w:line="240" w:lineRule="auto"/>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Gibbs, G. (1988) </w:t>
      </w:r>
      <w:r w:rsidRPr="00CB2E83">
        <w:rPr>
          <w:rFonts w:ascii="Times New Roman" w:eastAsiaTheme="minorHAnsi" w:hAnsi="Times New Roman" w:cs="Times New Roman"/>
          <w:i/>
          <w:iCs/>
          <w:sz w:val="24"/>
          <w:szCs w:val="24"/>
          <w:lang w:eastAsia="en-US"/>
        </w:rPr>
        <w:t>Learning by Doing: A guide to teaching and learning methods</w:t>
      </w:r>
      <w:r w:rsidRPr="00CB2E83">
        <w:rPr>
          <w:rFonts w:ascii="Times New Roman" w:eastAsiaTheme="minorHAnsi" w:hAnsi="Times New Roman" w:cs="Times New Roman"/>
          <w:sz w:val="24"/>
          <w:szCs w:val="24"/>
          <w:lang w:eastAsia="en-US"/>
        </w:rPr>
        <w:t>. Further Education Unit. Oxford Polytechnic: Oxford</w:t>
      </w:r>
    </w:p>
    <w:p w14:paraId="1291C082" w14:textId="77777777" w:rsidR="0051191D" w:rsidRPr="00CB2E83" w:rsidRDefault="0051191D" w:rsidP="0051191D">
      <w:pPr>
        <w:spacing w:line="240" w:lineRule="auto"/>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Griggs, V., Lawless, A., Rae, J., and Holden, R.  (2018) From reflective learning to reflective practice: assessing transfer.</w:t>
      </w:r>
      <w:r w:rsidRPr="00CB2E83">
        <w:rPr>
          <w:rFonts w:ascii="Times New Roman" w:eastAsiaTheme="minorHAnsi" w:hAnsi="Times New Roman" w:cs="Times New Roman"/>
          <w:i/>
          <w:iCs/>
          <w:sz w:val="24"/>
          <w:szCs w:val="24"/>
          <w:lang w:eastAsia="en-US"/>
        </w:rPr>
        <w:t xml:space="preserve"> Studies in Higher Education</w:t>
      </w:r>
      <w:r w:rsidRPr="00CB2E83">
        <w:rPr>
          <w:rFonts w:ascii="Times New Roman" w:eastAsiaTheme="minorHAnsi" w:hAnsi="Times New Roman" w:cs="Times New Roman"/>
          <w:sz w:val="24"/>
          <w:szCs w:val="24"/>
          <w:lang w:eastAsia="en-US"/>
        </w:rPr>
        <w:t>, 43 (7), pp.1172-1183.</w:t>
      </w:r>
    </w:p>
    <w:p w14:paraId="7C930747" w14:textId="77777777" w:rsidR="0051191D" w:rsidRPr="00CB2E83" w:rsidRDefault="0051191D" w:rsidP="0051191D">
      <w:pPr>
        <w:spacing w:line="240" w:lineRule="auto"/>
        <w:rPr>
          <w:rFonts w:ascii="Times New Roman" w:eastAsiaTheme="minorHAnsi" w:hAnsi="Times New Roman" w:cs="Times New Roman"/>
          <w:color w:val="FF0000"/>
          <w:sz w:val="24"/>
          <w:szCs w:val="24"/>
          <w:lang w:eastAsia="en-US"/>
        </w:rPr>
      </w:pPr>
      <w:r w:rsidRPr="00CB2E83">
        <w:rPr>
          <w:rFonts w:ascii="Times New Roman" w:eastAsiaTheme="minorHAnsi" w:hAnsi="Times New Roman" w:cs="Times New Roman"/>
          <w:color w:val="222222"/>
          <w:sz w:val="24"/>
          <w:szCs w:val="24"/>
          <w:shd w:val="clear" w:color="auto" w:fill="FFFFFF"/>
          <w:lang w:eastAsia="en-US"/>
        </w:rPr>
        <w:t>Horwitz, J. (2012) Photovoice as a critical reflection methodology. </w:t>
      </w:r>
      <w:r w:rsidRPr="00CB2E83">
        <w:rPr>
          <w:rFonts w:ascii="Times New Roman" w:eastAsiaTheme="minorHAnsi" w:hAnsi="Times New Roman" w:cs="Times New Roman"/>
          <w:i/>
          <w:iCs/>
          <w:color w:val="222222"/>
          <w:sz w:val="24"/>
          <w:szCs w:val="24"/>
          <w:shd w:val="clear" w:color="auto" w:fill="FFFFFF"/>
          <w:lang w:eastAsia="en-US"/>
        </w:rPr>
        <w:t>Agency through teacher education: Reflection, community, and learning</w:t>
      </w:r>
      <w:r w:rsidRPr="00CB2E83">
        <w:rPr>
          <w:rFonts w:ascii="Times New Roman" w:eastAsiaTheme="minorHAnsi" w:hAnsi="Times New Roman" w:cs="Times New Roman"/>
          <w:color w:val="222222"/>
          <w:sz w:val="24"/>
          <w:szCs w:val="24"/>
          <w:shd w:val="clear" w:color="auto" w:fill="FFFFFF"/>
          <w:lang w:eastAsia="en-US"/>
        </w:rPr>
        <w:t>, pp.15-24.</w:t>
      </w:r>
    </w:p>
    <w:p w14:paraId="2F8B16A5" w14:textId="77777777" w:rsidR="0051191D" w:rsidRPr="00CB2E83" w:rsidRDefault="0051191D" w:rsidP="0051191D">
      <w:pPr>
        <w:spacing w:line="240" w:lineRule="auto"/>
        <w:rPr>
          <w:rFonts w:ascii="Times New Roman" w:eastAsiaTheme="minorHAnsi" w:hAnsi="Times New Roman" w:cs="Times New Roman"/>
          <w:sz w:val="24"/>
          <w:szCs w:val="24"/>
          <w:lang w:eastAsia="en-US"/>
        </w:rPr>
      </w:pPr>
      <w:r w:rsidRPr="00CB2E83">
        <w:rPr>
          <w:rFonts w:ascii="Times New Roman" w:eastAsiaTheme="minorHAnsi" w:hAnsi="Times New Roman" w:cs="Times New Roman"/>
          <w:sz w:val="24"/>
          <w:szCs w:val="24"/>
          <w:lang w:eastAsia="en-US"/>
        </w:rPr>
        <w:t xml:space="preserve">Johns, C. (1995) Framing learning through reflection within </w:t>
      </w:r>
      <w:proofErr w:type="spellStart"/>
      <w:r w:rsidRPr="00CB2E83">
        <w:rPr>
          <w:rFonts w:ascii="Times New Roman" w:eastAsiaTheme="minorHAnsi" w:hAnsi="Times New Roman" w:cs="Times New Roman"/>
          <w:sz w:val="24"/>
          <w:szCs w:val="24"/>
          <w:lang w:eastAsia="en-US"/>
        </w:rPr>
        <w:t>Carper’s</w:t>
      </w:r>
      <w:proofErr w:type="spellEnd"/>
      <w:r w:rsidRPr="00CB2E83">
        <w:rPr>
          <w:rFonts w:ascii="Times New Roman" w:eastAsiaTheme="minorHAnsi" w:hAnsi="Times New Roman" w:cs="Times New Roman"/>
          <w:sz w:val="24"/>
          <w:szCs w:val="24"/>
          <w:lang w:eastAsia="en-US"/>
        </w:rPr>
        <w:t xml:space="preserve"> fundamental ways of knowing in nursing. </w:t>
      </w:r>
      <w:r w:rsidRPr="00CB2E83">
        <w:rPr>
          <w:rFonts w:ascii="Times New Roman" w:eastAsiaTheme="minorHAnsi" w:hAnsi="Times New Roman" w:cs="Times New Roman"/>
          <w:i/>
          <w:iCs/>
          <w:sz w:val="24"/>
          <w:szCs w:val="24"/>
          <w:lang w:eastAsia="en-US"/>
        </w:rPr>
        <w:t>Journal of Advanced Nursing</w:t>
      </w:r>
      <w:r w:rsidRPr="00CB2E83">
        <w:rPr>
          <w:rFonts w:ascii="Times New Roman" w:eastAsiaTheme="minorHAnsi" w:hAnsi="Times New Roman" w:cs="Times New Roman"/>
          <w:sz w:val="24"/>
          <w:szCs w:val="24"/>
          <w:lang w:eastAsia="en-US"/>
        </w:rPr>
        <w:t>. 22, 2, 226-234</w:t>
      </w:r>
    </w:p>
    <w:p w14:paraId="05F0887E" w14:textId="77777777" w:rsidR="0051191D" w:rsidRPr="00CB2E83" w:rsidRDefault="0051191D" w:rsidP="0051191D">
      <w:pPr>
        <w:spacing w:line="240" w:lineRule="auto"/>
        <w:rPr>
          <w:rFonts w:ascii="Times New Roman" w:eastAsiaTheme="minorHAnsi" w:hAnsi="Times New Roman" w:cs="Times New Roman"/>
          <w:i/>
          <w:iCs/>
          <w:sz w:val="24"/>
          <w:szCs w:val="24"/>
          <w:lang w:eastAsia="en-US"/>
        </w:rPr>
      </w:pPr>
      <w:r w:rsidRPr="00CB2E83">
        <w:rPr>
          <w:rFonts w:ascii="Times New Roman" w:eastAsiaTheme="minorHAnsi" w:hAnsi="Times New Roman" w:cs="Times New Roman"/>
          <w:sz w:val="24"/>
          <w:szCs w:val="24"/>
          <w:lang w:eastAsia="en-US"/>
        </w:rPr>
        <w:t xml:space="preserve">Moon, J. (1999) </w:t>
      </w:r>
      <w:r w:rsidRPr="00CB2E83">
        <w:rPr>
          <w:rFonts w:ascii="Times New Roman" w:eastAsiaTheme="minorHAnsi" w:hAnsi="Times New Roman" w:cs="Times New Roman"/>
          <w:i/>
          <w:sz w:val="24"/>
          <w:szCs w:val="24"/>
          <w:lang w:eastAsia="en-US"/>
        </w:rPr>
        <w:t>Reflection in Learning and Professional Development: theory and practice</w:t>
      </w:r>
      <w:r w:rsidRPr="00CB2E83">
        <w:rPr>
          <w:rFonts w:ascii="Times New Roman" w:eastAsiaTheme="minorHAnsi" w:hAnsi="Times New Roman" w:cs="Times New Roman"/>
          <w:sz w:val="24"/>
          <w:szCs w:val="24"/>
          <w:lang w:eastAsia="en-US"/>
        </w:rPr>
        <w:t>. Routledge Falmer.</w:t>
      </w:r>
    </w:p>
    <w:p w14:paraId="77B1075D" w14:textId="77777777" w:rsidR="0051191D" w:rsidRPr="00CB2E83" w:rsidRDefault="0051191D" w:rsidP="0051191D">
      <w:pPr>
        <w:spacing w:after="91" w:line="240" w:lineRule="auto"/>
        <w:ind w:left="25" w:right="87"/>
        <w:rPr>
          <w:rFonts w:ascii="Times New Roman" w:eastAsiaTheme="minorHAnsi" w:hAnsi="Times New Roman" w:cs="Times New Roman"/>
          <w:color w:val="222222"/>
          <w:sz w:val="24"/>
          <w:szCs w:val="24"/>
          <w:shd w:val="clear" w:color="auto" w:fill="FFFFFF"/>
          <w:lang w:eastAsia="en-US"/>
        </w:rPr>
      </w:pPr>
      <w:r w:rsidRPr="00CB2E83">
        <w:rPr>
          <w:rFonts w:ascii="Times New Roman" w:eastAsiaTheme="minorHAnsi" w:hAnsi="Times New Roman" w:cs="Times New Roman"/>
          <w:color w:val="222222"/>
          <w:sz w:val="24"/>
          <w:szCs w:val="24"/>
          <w:shd w:val="clear" w:color="auto" w:fill="FFFFFF"/>
          <w:lang w:eastAsia="en-US"/>
        </w:rPr>
        <w:t>Reynolds, M., and Vince, R. (2004). Organizing reflection: An introduction. </w:t>
      </w:r>
      <w:r w:rsidRPr="00CB2E83">
        <w:rPr>
          <w:rFonts w:ascii="Times New Roman" w:eastAsiaTheme="minorHAnsi" w:hAnsi="Times New Roman" w:cs="Times New Roman"/>
          <w:i/>
          <w:iCs/>
          <w:color w:val="222222"/>
          <w:sz w:val="24"/>
          <w:szCs w:val="24"/>
          <w:shd w:val="clear" w:color="auto" w:fill="FFFFFF"/>
          <w:lang w:eastAsia="en-US"/>
        </w:rPr>
        <w:t>Organizing reflection</w:t>
      </w:r>
      <w:r w:rsidRPr="00CB2E83">
        <w:rPr>
          <w:rFonts w:ascii="Times New Roman" w:eastAsiaTheme="minorHAnsi" w:hAnsi="Times New Roman" w:cs="Times New Roman"/>
          <w:color w:val="222222"/>
          <w:sz w:val="24"/>
          <w:szCs w:val="24"/>
          <w:shd w:val="clear" w:color="auto" w:fill="FFFFFF"/>
          <w:lang w:eastAsia="en-US"/>
        </w:rPr>
        <w:t>, pp.1-14.</w:t>
      </w:r>
    </w:p>
    <w:p w14:paraId="5D746076" w14:textId="77777777" w:rsidR="0051191D" w:rsidRPr="00CB2E83" w:rsidRDefault="0051191D" w:rsidP="0051191D">
      <w:pPr>
        <w:spacing w:after="91" w:line="240" w:lineRule="auto"/>
        <w:ind w:left="25" w:right="87"/>
        <w:rPr>
          <w:rFonts w:ascii="Times New Roman" w:eastAsiaTheme="minorHAnsi" w:hAnsi="Times New Roman" w:cs="Times New Roman"/>
          <w:color w:val="222222"/>
          <w:sz w:val="24"/>
          <w:szCs w:val="24"/>
          <w:shd w:val="clear" w:color="auto" w:fill="FFFFFF"/>
          <w:lang w:eastAsia="en-US"/>
        </w:rPr>
      </w:pPr>
      <w:r w:rsidRPr="00CB2E83">
        <w:rPr>
          <w:rFonts w:ascii="Times New Roman" w:eastAsiaTheme="minorHAnsi" w:hAnsi="Times New Roman" w:cs="Times New Roman"/>
          <w:color w:val="222222"/>
          <w:sz w:val="24"/>
          <w:szCs w:val="24"/>
          <w:shd w:val="clear" w:color="auto" w:fill="FFFFFF"/>
          <w:lang w:eastAsia="en-US"/>
        </w:rPr>
        <w:t>Schon, D., A. (1983) </w:t>
      </w:r>
      <w:r w:rsidRPr="00CB2E83">
        <w:rPr>
          <w:rFonts w:ascii="Times New Roman" w:eastAsiaTheme="minorHAnsi" w:hAnsi="Times New Roman" w:cs="Times New Roman"/>
          <w:i/>
          <w:iCs/>
          <w:color w:val="222222"/>
          <w:sz w:val="24"/>
          <w:szCs w:val="24"/>
          <w:shd w:val="clear" w:color="auto" w:fill="FFFFFF"/>
          <w:lang w:eastAsia="en-US"/>
        </w:rPr>
        <w:t>The reflective practitioner: How professionals think in action</w:t>
      </w:r>
      <w:r w:rsidRPr="00CB2E83">
        <w:rPr>
          <w:rFonts w:ascii="Times New Roman" w:eastAsiaTheme="minorHAnsi" w:hAnsi="Times New Roman" w:cs="Times New Roman"/>
          <w:color w:val="222222"/>
          <w:sz w:val="24"/>
          <w:szCs w:val="24"/>
          <w:shd w:val="clear" w:color="auto" w:fill="FFFFFF"/>
          <w:lang w:eastAsia="en-US"/>
        </w:rPr>
        <w:t>. New York: Basic Books.</w:t>
      </w:r>
    </w:p>
    <w:p w14:paraId="54A57B70" w14:textId="77777777" w:rsidR="0051191D" w:rsidRPr="00CB2E83" w:rsidRDefault="0051191D" w:rsidP="0051191D">
      <w:pPr>
        <w:spacing w:after="91" w:line="240" w:lineRule="auto"/>
        <w:ind w:left="25" w:right="87"/>
        <w:rPr>
          <w:rFonts w:ascii="Times New Roman" w:eastAsiaTheme="minorHAnsi" w:hAnsi="Times New Roman" w:cs="Times New Roman"/>
          <w:sz w:val="24"/>
          <w:szCs w:val="24"/>
          <w:lang w:eastAsia="en-US"/>
        </w:rPr>
      </w:pPr>
      <w:r w:rsidRPr="00CB2E83">
        <w:rPr>
          <w:rFonts w:ascii="Times New Roman" w:eastAsiaTheme="minorHAnsi" w:hAnsi="Times New Roman" w:cs="Times New Roman"/>
          <w:color w:val="222222"/>
          <w:sz w:val="24"/>
          <w:szCs w:val="24"/>
          <w:shd w:val="clear" w:color="auto" w:fill="FFFFFF"/>
          <w:lang w:eastAsia="en-US"/>
        </w:rPr>
        <w:t>Wang, C., and Burris, M., A. (1997). Photovoice: Concept, methodology, and use for participatory needs assessment. </w:t>
      </w:r>
      <w:r w:rsidRPr="00CB2E83">
        <w:rPr>
          <w:rFonts w:ascii="Times New Roman" w:eastAsiaTheme="minorHAnsi" w:hAnsi="Times New Roman" w:cs="Times New Roman"/>
          <w:i/>
          <w:iCs/>
          <w:color w:val="222222"/>
          <w:sz w:val="24"/>
          <w:szCs w:val="24"/>
          <w:shd w:val="clear" w:color="auto" w:fill="FFFFFF"/>
          <w:lang w:eastAsia="en-US"/>
        </w:rPr>
        <w:t xml:space="preserve">Health education &amp; </w:t>
      </w:r>
      <w:proofErr w:type="spellStart"/>
      <w:r w:rsidRPr="00CB2E83">
        <w:rPr>
          <w:rFonts w:ascii="Times New Roman" w:eastAsiaTheme="minorHAnsi" w:hAnsi="Times New Roman" w:cs="Times New Roman"/>
          <w:i/>
          <w:iCs/>
          <w:color w:val="222222"/>
          <w:sz w:val="24"/>
          <w:szCs w:val="24"/>
          <w:shd w:val="clear" w:color="auto" w:fill="FFFFFF"/>
          <w:lang w:eastAsia="en-US"/>
        </w:rPr>
        <w:t>behavior</w:t>
      </w:r>
      <w:proofErr w:type="spellEnd"/>
      <w:r w:rsidRPr="00CB2E83">
        <w:rPr>
          <w:rFonts w:ascii="Times New Roman" w:eastAsiaTheme="minorHAnsi" w:hAnsi="Times New Roman" w:cs="Times New Roman"/>
          <w:color w:val="222222"/>
          <w:sz w:val="24"/>
          <w:szCs w:val="24"/>
          <w:shd w:val="clear" w:color="auto" w:fill="FFFFFF"/>
          <w:lang w:eastAsia="en-US"/>
        </w:rPr>
        <w:t>, </w:t>
      </w:r>
      <w:r w:rsidRPr="00CB2E83">
        <w:rPr>
          <w:rFonts w:ascii="Times New Roman" w:eastAsiaTheme="minorHAnsi" w:hAnsi="Times New Roman" w:cs="Times New Roman"/>
          <w:i/>
          <w:iCs/>
          <w:color w:val="222222"/>
          <w:sz w:val="24"/>
          <w:szCs w:val="24"/>
          <w:shd w:val="clear" w:color="auto" w:fill="FFFFFF"/>
          <w:lang w:eastAsia="en-US"/>
        </w:rPr>
        <w:t>24</w:t>
      </w:r>
      <w:r w:rsidRPr="00CB2E83">
        <w:rPr>
          <w:rFonts w:ascii="Times New Roman" w:eastAsiaTheme="minorHAnsi" w:hAnsi="Times New Roman" w:cs="Times New Roman"/>
          <w:color w:val="222222"/>
          <w:sz w:val="24"/>
          <w:szCs w:val="24"/>
          <w:shd w:val="clear" w:color="auto" w:fill="FFFFFF"/>
          <w:lang w:eastAsia="en-US"/>
        </w:rPr>
        <w:t>(3), pp.369-387.</w:t>
      </w:r>
    </w:p>
    <w:p w14:paraId="6B7D5918" w14:textId="77777777" w:rsidR="0051191D" w:rsidRDefault="0051191D" w:rsidP="0051191D">
      <w:pPr>
        <w:jc w:val="both"/>
      </w:pPr>
    </w:p>
    <w:p w14:paraId="0DA6E94D"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69C"/>
    <w:multiLevelType w:val="hybridMultilevel"/>
    <w:tmpl w:val="CF9646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CE4608"/>
    <w:multiLevelType w:val="hybridMultilevel"/>
    <w:tmpl w:val="68D2A8F0"/>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7764815">
    <w:abstractNumId w:val="1"/>
  </w:num>
  <w:num w:numId="2" w16cid:durableId="94865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191D"/>
    <w:rsid w:val="0051191D"/>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3F4D"/>
  <w15:chartTrackingRefBased/>
  <w15:docId w15:val="{8C307A40-CAC2-49C5-8155-72FBAAB4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91D"/>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7166</Characters>
  <Application>Microsoft Office Word</Application>
  <DocSecurity>0</DocSecurity>
  <Lines>199</Lines>
  <Paragraphs>134</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2024-03-01T09:40:00Z</dcterms:created>
  <dcterms:modified xsi:type="dcterms:W3CDTF">2024-03-01T09:40:00Z</dcterms:modified>
</cp:coreProperties>
</file>