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77AA" w14:textId="77777777" w:rsidR="001E4BF2" w:rsidRDefault="001E4BF2" w:rsidP="00CA1461">
      <w:pPr>
        <w:spacing w:after="480"/>
        <w:rPr>
          <w:b/>
          <w:color w:val="000000"/>
          <w:sz w:val="48"/>
          <w:szCs w:val="48"/>
        </w:rPr>
      </w:pPr>
    </w:p>
    <w:p w14:paraId="6EB82F6A" w14:textId="52538782" w:rsidR="00CA1461" w:rsidRDefault="00CA1461" w:rsidP="00CA1461">
      <w:pPr>
        <w:spacing w:after="480"/>
        <w:rPr>
          <w:b/>
          <w:color w:val="000000"/>
          <w:sz w:val="48"/>
          <w:szCs w:val="48"/>
        </w:rPr>
      </w:pPr>
      <w:r>
        <w:rPr>
          <w:b/>
          <w:color w:val="000000"/>
          <w:sz w:val="48"/>
          <w:szCs w:val="48"/>
        </w:rPr>
        <w:t>Doctoral Studies in Kenya: A Social Injustice?</w:t>
      </w:r>
    </w:p>
    <w:p w14:paraId="212B5EBF" w14:textId="25DCACFF" w:rsidR="001074D2" w:rsidRDefault="00CA1461" w:rsidP="00CA1461">
      <w:pPr>
        <w:pStyle w:val="IOPAuthor"/>
        <w:tabs>
          <w:tab w:val="right" w:pos="7540"/>
        </w:tabs>
        <w:spacing w:before="480" w:after="240"/>
        <w:ind w:right="0"/>
      </w:pPr>
      <w:r w:rsidRPr="00CA1461">
        <w:t>C</w:t>
      </w:r>
      <w:r w:rsidRPr="00CA1461">
        <w:rPr>
          <w:color w:val="000000"/>
        </w:rPr>
        <w:t xml:space="preserve">aroline Kagwiria </w:t>
      </w:r>
      <w:proofErr w:type="spellStart"/>
      <w:r>
        <w:rPr>
          <w:color w:val="000000"/>
        </w:rPr>
        <w:t>K</w:t>
      </w:r>
      <w:r w:rsidRPr="00CA1461">
        <w:rPr>
          <w:color w:val="000000"/>
        </w:rPr>
        <w:t>inuu</w:t>
      </w:r>
      <w:proofErr w:type="spellEnd"/>
      <w:r w:rsidRPr="00CA1461">
        <w:rPr>
          <w:color w:val="000000"/>
        </w:rPr>
        <w:t xml:space="preserve"> Kimathi</w:t>
      </w:r>
      <w:r>
        <w:t xml:space="preserve"> </w:t>
      </w:r>
      <w:r w:rsidR="004770E8">
        <w:rPr>
          <w:noProof/>
        </w:rPr>
        <w:drawing>
          <wp:inline distT="0" distB="0" distL="0" distR="0" wp14:anchorId="1DE5812A" wp14:editId="0898E986">
            <wp:extent cx="238125" cy="238125"/>
            <wp:effectExtent l="0" t="0" r="9525" b="9525"/>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p>
    <w:p w14:paraId="408EDB81" w14:textId="54987FFA" w:rsidR="00CA1461" w:rsidRPr="00F13D17" w:rsidRDefault="00CA1461" w:rsidP="00C511B3">
      <w:pPr>
        <w:spacing w:after="240"/>
        <w:rPr>
          <w:sz w:val="20"/>
          <w:szCs w:val="20"/>
        </w:rPr>
      </w:pPr>
      <w:r w:rsidRPr="009E29D2">
        <w:rPr>
          <w:sz w:val="20"/>
          <w:szCs w:val="20"/>
        </w:rPr>
        <w:t xml:space="preserve">Department of Languages and Literature, United States International University, </w:t>
      </w:r>
      <w:r w:rsidR="001074D2">
        <w:rPr>
          <w:sz w:val="20"/>
          <w:szCs w:val="20"/>
        </w:rPr>
        <w:t>Africa</w:t>
      </w:r>
      <w:r w:rsidRPr="00CA1461">
        <w:rPr>
          <w:sz w:val="20"/>
          <w:szCs w:val="20"/>
        </w:rPr>
        <w:t xml:space="preserve"> </w:t>
      </w:r>
    </w:p>
    <w:p w14:paraId="166639AF" w14:textId="77777777" w:rsidR="004770E8" w:rsidRDefault="004770E8" w:rsidP="00CA1461">
      <w:pPr>
        <w:pStyle w:val="IOPAff"/>
        <w:spacing w:before="240"/>
        <w:ind w:right="0"/>
        <w:rPr>
          <w:rFonts w:asciiTheme="minorHAnsi" w:hAnsiTheme="minorHAnsi" w:cstheme="minorHAnsi"/>
          <w:sz w:val="20"/>
          <w:szCs w:val="20"/>
        </w:rPr>
      </w:pPr>
    </w:p>
    <w:p w14:paraId="4AD2E50F" w14:textId="616FBB03" w:rsidR="00CA1461" w:rsidRPr="00F50EC4" w:rsidRDefault="00CA1461" w:rsidP="00CA1461">
      <w:pPr>
        <w:pStyle w:val="IOPAff"/>
        <w:spacing w:before="240"/>
        <w:ind w:right="0"/>
        <w:rPr>
          <w:rFonts w:asciiTheme="minorHAnsi" w:hAnsiTheme="minorHAnsi" w:cstheme="minorHAnsi"/>
          <w:sz w:val="20"/>
          <w:szCs w:val="20"/>
        </w:rPr>
      </w:pPr>
      <w:r w:rsidRPr="00F50EC4">
        <w:rPr>
          <w:rFonts w:asciiTheme="minorHAnsi" w:hAnsiTheme="minorHAnsi" w:cstheme="minorHAnsi"/>
          <w:sz w:val="20"/>
          <w:szCs w:val="20"/>
        </w:rPr>
        <w:t>Received</w:t>
      </w:r>
      <w:r>
        <w:rPr>
          <w:rFonts w:asciiTheme="minorHAnsi" w:hAnsiTheme="minorHAnsi" w:cstheme="minorHAnsi"/>
          <w:sz w:val="20"/>
          <w:szCs w:val="20"/>
        </w:rPr>
        <w:t>:</w:t>
      </w:r>
      <w:r w:rsidRPr="00F50EC4">
        <w:rPr>
          <w:rFonts w:asciiTheme="minorHAnsi" w:hAnsiTheme="minorHAnsi" w:cstheme="minorHAnsi"/>
          <w:sz w:val="20"/>
          <w:szCs w:val="20"/>
        </w:rPr>
        <w:t xml:space="preserve"> </w:t>
      </w:r>
      <w:r w:rsidR="009E29D2">
        <w:rPr>
          <w:rFonts w:asciiTheme="minorHAnsi" w:hAnsiTheme="minorHAnsi" w:cstheme="minorHAnsi"/>
          <w:sz w:val="20"/>
          <w:szCs w:val="20"/>
        </w:rPr>
        <w:t>26</w:t>
      </w:r>
      <w:r>
        <w:rPr>
          <w:rFonts w:asciiTheme="minorHAnsi" w:hAnsiTheme="minorHAnsi" w:cstheme="minorHAnsi"/>
          <w:sz w:val="20"/>
          <w:szCs w:val="20"/>
        </w:rPr>
        <w:t>/0</w:t>
      </w:r>
      <w:r w:rsidR="009E29D2">
        <w:rPr>
          <w:rFonts w:asciiTheme="minorHAnsi" w:hAnsiTheme="minorHAnsi" w:cstheme="minorHAnsi"/>
          <w:sz w:val="20"/>
          <w:szCs w:val="20"/>
        </w:rPr>
        <w:t>8</w:t>
      </w:r>
      <w:r>
        <w:rPr>
          <w:rFonts w:asciiTheme="minorHAnsi" w:hAnsiTheme="minorHAnsi" w:cstheme="minorHAnsi"/>
          <w:sz w:val="20"/>
          <w:szCs w:val="20"/>
        </w:rPr>
        <w:t>/</w:t>
      </w:r>
      <w:r w:rsidR="009E29D2">
        <w:rPr>
          <w:rFonts w:asciiTheme="minorHAnsi" w:hAnsiTheme="minorHAnsi" w:cstheme="minorHAnsi"/>
          <w:sz w:val="20"/>
          <w:szCs w:val="20"/>
        </w:rPr>
        <w:t>2024</w:t>
      </w:r>
      <w:r>
        <w:rPr>
          <w:rFonts w:asciiTheme="minorHAnsi" w:hAnsiTheme="minorHAnsi" w:cstheme="minorHAnsi"/>
          <w:sz w:val="20"/>
          <w:szCs w:val="20"/>
        </w:rPr>
        <w:t xml:space="preserve"> </w:t>
      </w:r>
    </w:p>
    <w:p w14:paraId="17AA5E86" w14:textId="3D326190" w:rsidR="00CA1461" w:rsidRPr="00F50EC4" w:rsidRDefault="00CA1461" w:rsidP="00CA1461">
      <w:pPr>
        <w:pStyle w:val="IOPAff"/>
        <w:ind w:right="0"/>
        <w:rPr>
          <w:rFonts w:asciiTheme="minorHAnsi" w:hAnsiTheme="minorHAnsi" w:cstheme="minorHAnsi"/>
          <w:sz w:val="20"/>
          <w:szCs w:val="20"/>
        </w:rPr>
      </w:pPr>
      <w:r w:rsidRPr="00F50EC4">
        <w:rPr>
          <w:rFonts w:asciiTheme="minorHAnsi" w:hAnsiTheme="minorHAnsi" w:cstheme="minorHAnsi"/>
          <w:sz w:val="20"/>
          <w:szCs w:val="20"/>
        </w:rPr>
        <w:t>Accepted for publication</w:t>
      </w:r>
      <w:r>
        <w:rPr>
          <w:rFonts w:asciiTheme="minorHAnsi" w:hAnsiTheme="minorHAnsi" w:cstheme="minorHAnsi"/>
          <w:sz w:val="20"/>
          <w:szCs w:val="20"/>
        </w:rPr>
        <w:t xml:space="preserve">: </w:t>
      </w:r>
      <w:r w:rsidR="009E29D2">
        <w:rPr>
          <w:rFonts w:asciiTheme="minorHAnsi" w:hAnsiTheme="minorHAnsi" w:cstheme="minorHAnsi"/>
          <w:sz w:val="20"/>
          <w:szCs w:val="20"/>
        </w:rPr>
        <w:t>17</w:t>
      </w:r>
      <w:r>
        <w:rPr>
          <w:rFonts w:asciiTheme="minorHAnsi" w:hAnsiTheme="minorHAnsi" w:cstheme="minorHAnsi"/>
          <w:sz w:val="20"/>
          <w:szCs w:val="20"/>
        </w:rPr>
        <w:t>/</w:t>
      </w:r>
      <w:r w:rsidR="009E29D2">
        <w:rPr>
          <w:rFonts w:asciiTheme="minorHAnsi" w:hAnsiTheme="minorHAnsi" w:cstheme="minorHAnsi"/>
          <w:sz w:val="20"/>
          <w:szCs w:val="20"/>
        </w:rPr>
        <w:t>1</w:t>
      </w:r>
      <w:r>
        <w:rPr>
          <w:rFonts w:asciiTheme="minorHAnsi" w:hAnsiTheme="minorHAnsi" w:cstheme="minorHAnsi"/>
          <w:sz w:val="20"/>
          <w:szCs w:val="20"/>
        </w:rPr>
        <w:t>0/</w:t>
      </w:r>
      <w:r w:rsidR="009E29D2">
        <w:rPr>
          <w:rFonts w:asciiTheme="minorHAnsi" w:hAnsiTheme="minorHAnsi" w:cstheme="minorHAnsi"/>
          <w:sz w:val="20"/>
          <w:szCs w:val="20"/>
        </w:rPr>
        <w:t>2025</w:t>
      </w:r>
      <w:r>
        <w:rPr>
          <w:rFonts w:asciiTheme="minorHAnsi" w:hAnsiTheme="minorHAnsi" w:cstheme="minorHAnsi"/>
          <w:sz w:val="20"/>
          <w:szCs w:val="20"/>
        </w:rPr>
        <w:t xml:space="preserve"> </w:t>
      </w:r>
    </w:p>
    <w:p w14:paraId="7DF8E7A2" w14:textId="24F1E729" w:rsidR="00CA1461" w:rsidRDefault="00CA1461" w:rsidP="00CA1461">
      <w:pPr>
        <w:pStyle w:val="IOPAff"/>
        <w:spacing w:after="240"/>
        <w:ind w:right="0"/>
        <w:rPr>
          <w:rFonts w:asciiTheme="minorHAnsi" w:hAnsiTheme="minorHAnsi" w:cstheme="minorHAnsi"/>
          <w:sz w:val="20"/>
          <w:szCs w:val="20"/>
        </w:rPr>
      </w:pPr>
      <w:r w:rsidRPr="00F50EC4">
        <w:rPr>
          <w:rFonts w:asciiTheme="minorHAnsi" w:hAnsiTheme="minorHAnsi" w:cstheme="minorHAnsi"/>
          <w:sz w:val="20"/>
          <w:szCs w:val="20"/>
        </w:rPr>
        <w:t>Published</w:t>
      </w:r>
      <w:r>
        <w:rPr>
          <w:rFonts w:asciiTheme="minorHAnsi" w:hAnsiTheme="minorHAnsi" w:cstheme="minorHAnsi"/>
          <w:sz w:val="20"/>
          <w:szCs w:val="20"/>
        </w:rPr>
        <w:t>: 0</w:t>
      </w:r>
      <w:r w:rsidR="004A3EBD">
        <w:rPr>
          <w:rFonts w:asciiTheme="minorHAnsi" w:hAnsiTheme="minorHAnsi" w:cstheme="minorHAnsi"/>
          <w:sz w:val="20"/>
          <w:szCs w:val="20"/>
        </w:rPr>
        <w:t>2</w:t>
      </w:r>
      <w:r>
        <w:rPr>
          <w:rFonts w:asciiTheme="minorHAnsi" w:hAnsiTheme="minorHAnsi" w:cstheme="minorHAnsi"/>
          <w:sz w:val="20"/>
          <w:szCs w:val="20"/>
        </w:rPr>
        <w:t>/0</w:t>
      </w:r>
      <w:r w:rsidR="00214CC6">
        <w:rPr>
          <w:rFonts w:asciiTheme="minorHAnsi" w:hAnsiTheme="minorHAnsi" w:cstheme="minorHAnsi"/>
          <w:sz w:val="20"/>
          <w:szCs w:val="20"/>
        </w:rPr>
        <w:t>4</w:t>
      </w:r>
      <w:r>
        <w:rPr>
          <w:rFonts w:asciiTheme="minorHAnsi" w:hAnsiTheme="minorHAnsi" w:cstheme="minorHAnsi"/>
          <w:sz w:val="20"/>
          <w:szCs w:val="20"/>
        </w:rPr>
        <w:t>/</w:t>
      </w:r>
      <w:r w:rsidR="009E29D2">
        <w:rPr>
          <w:rFonts w:asciiTheme="minorHAnsi" w:hAnsiTheme="minorHAnsi" w:cstheme="minorHAnsi"/>
          <w:sz w:val="20"/>
          <w:szCs w:val="20"/>
        </w:rPr>
        <w:t>2026</w:t>
      </w:r>
      <w:r>
        <w:rPr>
          <w:rFonts w:asciiTheme="minorHAnsi" w:hAnsiTheme="minorHAnsi" w:cstheme="minorHAnsi"/>
          <w:sz w:val="20"/>
          <w:szCs w:val="20"/>
        </w:rPr>
        <w:t xml:space="preserve"> </w:t>
      </w:r>
    </w:p>
    <w:p w14:paraId="0CEE63B6" w14:textId="77777777" w:rsidR="009E29D2" w:rsidRPr="00F50EC4" w:rsidRDefault="009E29D2" w:rsidP="00CA1461">
      <w:pPr>
        <w:pStyle w:val="IOPAff"/>
        <w:spacing w:after="240"/>
        <w:ind w:right="0"/>
        <w:rPr>
          <w:rFonts w:asciiTheme="minorHAnsi" w:hAnsiTheme="minorHAnsi" w:cstheme="minorHAnsi"/>
          <w:sz w:val="20"/>
          <w:szCs w:val="20"/>
        </w:rPr>
      </w:pPr>
    </w:p>
    <w:p w14:paraId="44E7CDF6" w14:textId="77777777" w:rsidR="005A30A6" w:rsidRDefault="00D13AB7">
      <w:pPr>
        <w:spacing w:before="240" w:after="120"/>
        <w:ind w:left="964" w:right="964"/>
        <w:rPr>
          <w:b/>
          <w:color w:val="000000"/>
          <w:sz w:val="24"/>
          <w:szCs w:val="24"/>
        </w:rPr>
      </w:pPr>
      <w:r>
        <w:rPr>
          <w:b/>
          <w:color w:val="000000"/>
          <w:sz w:val="24"/>
          <w:szCs w:val="24"/>
        </w:rPr>
        <w:t xml:space="preserve">Abstract </w:t>
      </w:r>
    </w:p>
    <w:p w14:paraId="0BD54244" w14:textId="77777777" w:rsidR="005A30A6" w:rsidRDefault="00D13AB7" w:rsidP="009E29D2">
      <w:pPr>
        <w:spacing w:before="200" w:after="120"/>
        <w:ind w:left="964" w:right="964"/>
        <w:jc w:val="both"/>
        <w:rPr>
          <w:color w:val="000000"/>
        </w:rPr>
      </w:pPr>
      <w:bookmarkStart w:id="0" w:name="_heading=h.gjdgxs" w:colFirst="0" w:colLast="0"/>
      <w:bookmarkEnd w:id="0"/>
      <w:r>
        <w:rPr>
          <w:color w:val="000000"/>
        </w:rPr>
        <w:t>This study seeks to unveil the social disparities inherent in higher education by exploring the structural inequities impeding doctoral studies in Kenya and Africa as opposed to developed nations, such as those in the Global North. The research sheds light on the grim realities confronting numerous PhD candidates in developing regions when compared to their peers in developed countries. Through an in-depth analysis of the existing literature, the study identifies crucial factors contributing to a sense of social injustice: insufficient financial assistance for doctoral students, overburdened academic mentors, and a lack of specialized support for both students and faculty members. These obstacles not only hinder individual progress but also worsen the phenomenon of "brain drain" as disillusioned scholars and professors look for opportunities abroad, resulting in a depletion of valuable financial resources and experienced staff for educational institutions in Kenya and Africa. The study puts forth recommendations to establish a more equitable and supportive doctoral environment in Kenya, with the ultimate goal of enabling universities to retain talent and nurture future generations of scholars.</w:t>
      </w:r>
    </w:p>
    <w:p w14:paraId="0F5BF3C3" w14:textId="77777777" w:rsidR="005A30A6" w:rsidRDefault="00D13AB7">
      <w:pPr>
        <w:pBdr>
          <w:bottom w:val="single" w:sz="4" w:space="1" w:color="000000"/>
        </w:pBdr>
        <w:spacing w:before="240" w:after="240"/>
        <w:rPr>
          <w:color w:val="000000"/>
        </w:rPr>
      </w:pPr>
      <w:bookmarkStart w:id="1" w:name="_heading=h.30j0zll" w:colFirst="0" w:colLast="0"/>
      <w:bookmarkEnd w:id="1"/>
      <w:r>
        <w:rPr>
          <w:b/>
          <w:color w:val="000000"/>
          <w:sz w:val="24"/>
          <w:szCs w:val="24"/>
        </w:rPr>
        <w:t>Keywords</w:t>
      </w:r>
      <w:r>
        <w:rPr>
          <w:color w:val="000000"/>
        </w:rPr>
        <w:t>: Social justice, doctoral education, Kenya higher education, supervision, funding</w:t>
      </w:r>
    </w:p>
    <w:p w14:paraId="55A33723" w14:textId="2D7EB2DF" w:rsidR="005A30A6" w:rsidRDefault="00826ECF">
      <w:pPr>
        <w:pBdr>
          <w:bottom w:val="single" w:sz="4" w:space="1" w:color="000000"/>
        </w:pBdr>
        <w:spacing w:before="240" w:after="240"/>
        <w:rPr>
          <w:rFonts w:ascii="Times New Roman" w:eastAsia="Times New Roman" w:hAnsi="Times New Roman" w:cs="Times New Roman"/>
          <w:color w:val="000000"/>
          <w:sz w:val="20"/>
          <w:szCs w:val="20"/>
        </w:rPr>
        <w:sectPr w:rsidR="005A30A6" w:rsidSect="009E29D2">
          <w:headerReference w:type="default" r:id="rId10"/>
          <w:footerReference w:type="default" r:id="rId11"/>
          <w:pgSz w:w="11906" w:h="16838"/>
          <w:pgMar w:top="1440" w:right="1083" w:bottom="1440" w:left="1083" w:header="709" w:footer="709" w:gutter="0"/>
          <w:pgNumType w:start="1"/>
          <w:cols w:space="720"/>
        </w:sectPr>
      </w:pPr>
      <w:r w:rsidRPr="00826ECF">
        <w:rPr>
          <w:b/>
          <w:bCs/>
          <w:color w:val="000000"/>
        </w:rPr>
        <w:t>Paper type</w:t>
      </w:r>
      <w:r>
        <w:rPr>
          <w:color w:val="000000"/>
        </w:rPr>
        <w:t xml:space="preserve">: </w:t>
      </w:r>
      <w:r w:rsidR="00F33846">
        <w:rPr>
          <w:rFonts w:ascii="Times New Roman" w:eastAsia="Times New Roman" w:hAnsi="Times New Roman" w:cs="Times New Roman"/>
          <w:i/>
          <w:iCs/>
          <w:color w:val="000000"/>
          <w:sz w:val="20"/>
          <w:szCs w:val="20"/>
        </w:rPr>
        <w:t>Literature review</w:t>
      </w:r>
    </w:p>
    <w:p w14:paraId="71871580" w14:textId="30710FB2" w:rsidR="005A30A6" w:rsidRDefault="00D13AB7" w:rsidP="00826ECF">
      <w:pPr>
        <w:spacing w:before="240" w:after="120"/>
        <w:ind w:left="227" w:hanging="227"/>
        <w:rPr>
          <w:b/>
          <w:color w:val="000000"/>
          <w:sz w:val="24"/>
          <w:szCs w:val="24"/>
        </w:rPr>
      </w:pPr>
      <w:r>
        <w:rPr>
          <w:b/>
          <w:color w:val="000000"/>
          <w:sz w:val="24"/>
          <w:szCs w:val="24"/>
        </w:rPr>
        <w:t xml:space="preserve"> Vignette </w:t>
      </w:r>
    </w:p>
    <w:p w14:paraId="6650BCE5" w14:textId="011B34A1" w:rsidR="005A30A6" w:rsidRDefault="00D13AB7">
      <w:pPr>
        <w:spacing w:before="120" w:after="120"/>
        <w:ind w:firstLine="227"/>
        <w:jc w:val="both"/>
        <w:rPr>
          <w:color w:val="000000"/>
        </w:rPr>
      </w:pPr>
      <w:r>
        <w:rPr>
          <w:color w:val="000000"/>
        </w:rPr>
        <w:t xml:space="preserve">Maria, a PhD student, sat pensively on one of the hallway seats at the School of Graduate Studies feeling lost. She had come to see one of her supervisors who had kept her first draft of her dissertation for more than eight months, and yet had not given her any feedback. She had travelled four hundred kilometres to the university because the </w:t>
      </w:r>
      <w:r>
        <w:rPr>
          <w:color w:val="000000"/>
        </w:rPr>
        <w:t xml:space="preserve">supervisor had also not responded to any of her many emails, phone calls or short messages. Maria felt angry and frustrated that, seven years later, she was not even close to graduating. Yet she could not give up now. She had taken up two loans from the bank to facilitate her studies and had been forced to take up an extra job to ensure that she could repay her loans. According to her, she needed the doctoral certificate </w:t>
      </w:r>
      <w:r>
        <w:rPr>
          <w:color w:val="000000"/>
        </w:rPr>
        <w:lastRenderedPageBreak/>
        <w:t xml:space="preserve">to secure a better paying job. She had two young children, one of whom had been born three years ago, forcing her to take more than a two-year break from her studies. Being a single parent, she had been forced to divert money meant for her education into taking care of her family. She had come to seek for help and was apprehensive about it. What disturbed her the most was that she did not know who to complain to about her supervisor. She could not get any kind of funding from her university or the government to facilitate her studies, and surprisingly, no one from the university administration had reached out to ask why she had been away from her studies. </w:t>
      </w:r>
    </w:p>
    <w:p w14:paraId="426B7E86" w14:textId="77777777" w:rsidR="005A30A6" w:rsidRDefault="00D13AB7">
      <w:pPr>
        <w:spacing w:before="120" w:after="120"/>
        <w:ind w:firstLine="227"/>
        <w:jc w:val="both"/>
        <w:rPr>
          <w:color w:val="000000"/>
        </w:rPr>
      </w:pPr>
      <w:r>
        <w:rPr>
          <w:color w:val="000000"/>
        </w:rPr>
        <w:t xml:space="preserve"> While such narratives are not unique to African universities, these challenges and difficulties are more prominent in the African academic sphere (</w:t>
      </w:r>
      <w:proofErr w:type="spellStart"/>
      <w:r>
        <w:rPr>
          <w:color w:val="000000"/>
        </w:rPr>
        <w:t>Guwatudde</w:t>
      </w:r>
      <w:proofErr w:type="spellEnd"/>
      <w:r>
        <w:rPr>
          <w:color w:val="000000"/>
        </w:rPr>
        <w:t xml:space="preserve"> et al., 2013). </w:t>
      </w:r>
    </w:p>
    <w:p w14:paraId="2E091763" w14:textId="77777777" w:rsidR="00E70B08" w:rsidRDefault="00E70B08">
      <w:pPr>
        <w:spacing w:before="120" w:after="120"/>
        <w:ind w:firstLine="227"/>
        <w:jc w:val="both"/>
        <w:rPr>
          <w:color w:val="000000"/>
        </w:rPr>
      </w:pPr>
    </w:p>
    <w:p w14:paraId="30E1B2A6" w14:textId="77777777" w:rsidR="005A30A6" w:rsidRDefault="00D13AB7" w:rsidP="00E70B08">
      <w:pPr>
        <w:spacing w:before="240" w:after="120"/>
        <w:ind w:left="227" w:hanging="227"/>
        <w:rPr>
          <w:b/>
          <w:color w:val="000000"/>
          <w:sz w:val="24"/>
          <w:szCs w:val="24"/>
        </w:rPr>
      </w:pPr>
      <w:r>
        <w:rPr>
          <w:b/>
          <w:color w:val="000000"/>
          <w:sz w:val="24"/>
          <w:szCs w:val="24"/>
        </w:rPr>
        <w:t>Context</w:t>
      </w:r>
    </w:p>
    <w:p w14:paraId="5D8F4738" w14:textId="77777777" w:rsidR="005A30A6" w:rsidRDefault="00D13AB7">
      <w:pPr>
        <w:spacing w:before="120" w:after="120"/>
        <w:ind w:firstLine="227"/>
        <w:jc w:val="both"/>
        <w:rPr>
          <w:color w:val="000000"/>
        </w:rPr>
      </w:pPr>
      <w:bookmarkStart w:id="2" w:name="_heading=h.1fob9te" w:colFirst="0" w:colLast="0"/>
      <w:bookmarkEnd w:id="2"/>
      <w:r>
        <w:rPr>
          <w:color w:val="000000"/>
        </w:rPr>
        <w:t>Kenya is a country in the eastern part of Africa. It is bordered by Uganda, Tanzania, Somalia, Southern Sudan and Ethiopia. Kenya has a total number of 74 universities categorised as 31 public chartered universities, 7 public university constituent colleges, 1 specialised degree awarding university: 21 private chartered universities, 11 operating with letters of interim authority</w:t>
      </w:r>
      <w:r>
        <w:rPr>
          <w:color w:val="000000"/>
        </w:rPr>
        <w:footnoteReference w:id="1"/>
      </w:r>
      <w:r>
        <w:rPr>
          <w:color w:val="000000"/>
        </w:rPr>
        <w:t xml:space="preserve"> and 3 private university constituent colleges (CUE</w:t>
      </w:r>
      <w:r>
        <w:rPr>
          <w:color w:val="000000"/>
        </w:rPr>
        <w:footnoteReference w:id="2"/>
      </w:r>
      <w:r>
        <w:rPr>
          <w:color w:val="000000"/>
        </w:rPr>
        <w:t xml:space="preserve">, 2024). Public universities are funded by the government and students’ tuition fees are subsidised by the government. This means that they are more affordable and carry the biggest bulk of the population of students. Private universities rely on the students’ tuition fee, and they have fewer programmes and manageable classes. Over the past three years, there has been rapid growth in the number of universities and also student enrolments. According to Cowling (2023), a total of 562,100 students enrolled in the higher education institutions in 2021/2022, with 448,500 students enrolled in public universities and 113,600 in private universities. This is compared to 509,468 students in the 2019/2020 academic year. This is a paltry 3.5% of </w:t>
      </w:r>
      <w:r>
        <w:rPr>
          <w:color w:val="000000"/>
        </w:rPr>
        <w:t xml:space="preserve">the country's population, as compared to nearly 36% in England (Bolton, 2024). </w:t>
      </w:r>
    </w:p>
    <w:p w14:paraId="5CAC2308" w14:textId="77777777" w:rsidR="005A30A6" w:rsidRDefault="00D13AB7">
      <w:pPr>
        <w:spacing w:before="120" w:after="120"/>
        <w:ind w:firstLine="227"/>
        <w:jc w:val="both"/>
        <w:rPr>
          <w:color w:val="000000"/>
        </w:rPr>
      </w:pPr>
      <w:r>
        <w:rPr>
          <w:color w:val="000000"/>
        </w:rPr>
        <w:t xml:space="preserve">As of June 2023, the number of </w:t>
      </w:r>
      <w:proofErr w:type="spellStart"/>
      <w:r>
        <w:rPr>
          <w:color w:val="000000"/>
        </w:rPr>
        <w:t>enrollees</w:t>
      </w:r>
      <w:proofErr w:type="spellEnd"/>
      <w:r>
        <w:rPr>
          <w:color w:val="000000"/>
        </w:rPr>
        <w:t xml:space="preserve"> in postgraduate studies across public and private universities in Kenya amounted to 28,539 – a noteworthy decline by 36.09% compared to the same period in 2022 when there were 44,657 students enrolled. This trend is consistent with previous years' data which indicated that the number of postgraduate students had dropped significantly from 67,407 </w:t>
      </w:r>
      <w:proofErr w:type="spellStart"/>
      <w:r>
        <w:rPr>
          <w:color w:val="000000"/>
        </w:rPr>
        <w:t>enrollees</w:t>
      </w:r>
      <w:proofErr w:type="spellEnd"/>
      <w:r>
        <w:rPr>
          <w:color w:val="000000"/>
        </w:rPr>
        <w:t xml:space="preserve"> in 2017 (Cowling, 2023). In contrast, Government records for the academic year of 2020/21 show that only a meagre amount of funding was provided for postgraduate education; specifically speaking, financial support was granted for only up to four hundred master's degree candidates and one hundred fifty PhD scholars - clearly insufficient given past enrolment figures.</w:t>
      </w:r>
    </w:p>
    <w:p w14:paraId="14D51CA0" w14:textId="77777777" w:rsidR="00E70B08" w:rsidRDefault="00E70B08">
      <w:pPr>
        <w:spacing w:before="120" w:after="120"/>
        <w:ind w:firstLine="227"/>
        <w:jc w:val="both"/>
        <w:rPr>
          <w:color w:val="000000"/>
        </w:rPr>
      </w:pPr>
    </w:p>
    <w:p w14:paraId="52C8D521" w14:textId="77777777" w:rsidR="005A30A6" w:rsidRDefault="00D13AB7" w:rsidP="00E70B08">
      <w:pPr>
        <w:spacing w:before="240" w:after="120"/>
        <w:ind w:left="227" w:hanging="227"/>
        <w:rPr>
          <w:color w:val="000000"/>
        </w:rPr>
      </w:pPr>
      <w:r>
        <w:rPr>
          <w:b/>
          <w:color w:val="000000"/>
          <w:sz w:val="24"/>
          <w:szCs w:val="24"/>
        </w:rPr>
        <w:t>Consequences</w:t>
      </w:r>
    </w:p>
    <w:p w14:paraId="7DA52A0D" w14:textId="77777777" w:rsidR="005A30A6" w:rsidRDefault="00D13AB7" w:rsidP="00E70B08">
      <w:pPr>
        <w:spacing w:before="120" w:after="120"/>
        <w:ind w:firstLine="227"/>
        <w:jc w:val="both"/>
        <w:rPr>
          <w:color w:val="000000"/>
        </w:rPr>
      </w:pPr>
      <w:r>
        <w:rPr>
          <w:color w:val="000000"/>
        </w:rPr>
        <w:t>Kenya boasts approximately 10,000 individuals holding doctoral degrees and produces around 400 graduates annually, falling short of the national target of 900 graduates. According to Nyaudi &amp; Kimani (2019), half of the students who enrol in these programmes end up leaving before completion. The authors cited the Kenyan Commission of University Education (CUE) in identifying factors contributing to this high attrition rate, which include the exorbitant cost of education, inadequate supervision, the demanding schedules of supervisors, and the struggle for students to juggle their academic pursuits, family responsibilities, and work commitments.</w:t>
      </w:r>
    </w:p>
    <w:p w14:paraId="444B3779" w14:textId="77777777" w:rsidR="005A30A6" w:rsidRDefault="00D13AB7" w:rsidP="00E70B08">
      <w:pPr>
        <w:spacing w:before="120" w:after="120"/>
        <w:ind w:firstLine="227"/>
        <w:jc w:val="both"/>
        <w:rPr>
          <w:color w:val="000000"/>
        </w:rPr>
      </w:pPr>
      <w:r>
        <w:rPr>
          <w:color w:val="000000"/>
        </w:rPr>
        <w:t xml:space="preserve">These findings align with the research conducted by Alves et al., (2023), who identified similar challenges faced by students in the developed countries of the Global North. They noted that students in this region often drop out due to a discrepancy between their expectations and actual experiences, as well as a lack of connection to the academic community. Furthermore, Laufer and Gorup (2019) revealed that international students </w:t>
      </w:r>
      <w:r>
        <w:rPr>
          <w:color w:val="000000"/>
        </w:rPr>
        <w:lastRenderedPageBreak/>
        <w:t>encounter comparable obstacles, but also experience social exclusion and difficulties in adapting to new academic environments and cultural norms, leading to their decision to discontinue their studies.</w:t>
      </w:r>
    </w:p>
    <w:p w14:paraId="149BF573" w14:textId="77777777" w:rsidR="005A30A6" w:rsidRDefault="00D13AB7" w:rsidP="00E70B08">
      <w:pPr>
        <w:spacing w:before="120" w:after="120"/>
        <w:ind w:firstLine="227"/>
        <w:jc w:val="both"/>
        <w:rPr>
          <w:color w:val="000000"/>
        </w:rPr>
      </w:pPr>
      <w:r>
        <w:rPr>
          <w:color w:val="000000"/>
        </w:rPr>
        <w:t xml:space="preserve">Scholars frequently have extensive cohorts of both undergraduate and graduate students to educate, while senior academics often shoulder significant professional and administrative duties. Employment conditions, which may necessitate supplementary work in some cases, can hinder their capacity to provide effective supervision for students (Manderson et al., 2017). Departmental hierarchies can also play a role in determining who is available and qualified to mentor postgraduate scholars, as higher degree supervision carries greater prestige than classroom instruction (Japheth et. al, 2022; Malunda et.al., 2021).  Various studies have indicated that one of the reasons that there are limited academics willing to take up supervision is lack of motivation (Askew et. al., 2016; </w:t>
      </w:r>
      <w:proofErr w:type="spellStart"/>
      <w:r>
        <w:rPr>
          <w:color w:val="000000"/>
        </w:rPr>
        <w:t>Boehe</w:t>
      </w:r>
      <w:proofErr w:type="spellEnd"/>
      <w:r>
        <w:rPr>
          <w:color w:val="000000"/>
        </w:rPr>
        <w:t>, 2016; Lindén, et. al, 2013). The challenges of inadequate compensation and insufficient recognition for supervisory efforts, due to a dearth of resources, excessive workloads and limited opportunities for guidance and professional development, have resulted in a shortage of highly motivated and experienced supervisors. Consequently, the escalating demands of doctoral programmes in Africa cannot be met by the limited number of supervisors available. This has resulted to doctoral students looking for universities in Europe and United States of America where these challenges are less prevalent (Akuru, 2019). This also means that some of the students in search for better quality doctoral studies move to these universities as self-funded international students, however, they still face unique challenges to self-funded international students such as liability for fees, which sometimes have to be raised during their study; visa restrictions that affect employability; and the solitary journey of their doctoral study (</w:t>
      </w:r>
      <w:proofErr w:type="spellStart"/>
      <w:r>
        <w:rPr>
          <w:color w:val="000000"/>
        </w:rPr>
        <w:t>Mogaji</w:t>
      </w:r>
      <w:proofErr w:type="spellEnd"/>
      <w:r>
        <w:rPr>
          <w:color w:val="000000"/>
        </w:rPr>
        <w:t xml:space="preserve"> et. al., 2021). </w:t>
      </w:r>
    </w:p>
    <w:p w14:paraId="3E24041C" w14:textId="77777777" w:rsidR="005A30A6" w:rsidRDefault="00D13AB7" w:rsidP="00E70B08">
      <w:pPr>
        <w:spacing w:before="120" w:after="120"/>
        <w:ind w:firstLine="227"/>
        <w:jc w:val="both"/>
        <w:rPr>
          <w:color w:val="000000"/>
        </w:rPr>
      </w:pPr>
      <w:r>
        <w:rPr>
          <w:color w:val="000000"/>
        </w:rPr>
        <w:t xml:space="preserve">Although postgraduate students from developed countries often secure funding for their studies within their own nations, the majority of African students are not as fortunate. Those who do receive financial </w:t>
      </w:r>
      <w:r>
        <w:rPr>
          <w:color w:val="000000"/>
        </w:rPr>
        <w:t>support typically obtain international scholarships and subsequently leave the continent, resulting in a brain drain (Akuru, 2019; Mouton, 2018). Moreover, this results in African universities being denied crucial financial support that is generated from postgraduate studies, unlike the United Kingdom where self-funded international students contribute approximately £11.8 billion annually to the country's economy solely through tuition fees (Hubble &amp; Bolton, 2020; Bolton et. al, 2023).</w:t>
      </w:r>
    </w:p>
    <w:p w14:paraId="06BE7D05" w14:textId="77777777" w:rsidR="005A30A6" w:rsidRDefault="00D13AB7" w:rsidP="00E70B08">
      <w:pPr>
        <w:spacing w:before="120" w:after="120"/>
        <w:ind w:firstLine="227"/>
        <w:jc w:val="both"/>
        <w:rPr>
          <w:color w:val="000000"/>
        </w:rPr>
      </w:pPr>
      <w:r>
        <w:rPr>
          <w:color w:val="000000"/>
        </w:rPr>
        <w:t>Kenya, Egypt and South Africa have emerged as some of the leading African countries in terms of competitive doctoral training and research, with commendable progress in enrolment (</w:t>
      </w:r>
      <w:proofErr w:type="spellStart"/>
      <w:r>
        <w:rPr>
          <w:color w:val="000000"/>
        </w:rPr>
        <w:t>Akudolu</w:t>
      </w:r>
      <w:proofErr w:type="spellEnd"/>
      <w:r>
        <w:rPr>
          <w:color w:val="000000"/>
        </w:rPr>
        <w:t xml:space="preserve"> &amp; Adeyemo, 2018; Japheth et al., 2022; </w:t>
      </w:r>
      <w:proofErr w:type="spellStart"/>
      <w:r>
        <w:rPr>
          <w:color w:val="000000"/>
        </w:rPr>
        <w:t>Rong’uno</w:t>
      </w:r>
      <w:proofErr w:type="spellEnd"/>
      <w:r>
        <w:rPr>
          <w:color w:val="000000"/>
        </w:rPr>
        <w:t>, 2016). However, their higher education systems are plagued by a scarcity of qualified staff members and adequate infrastructure, particularly in newly established institutions for doctoral training. To achieve Kenya's development goals (CUE, 2015), there must be an increased emphasis on producing doctorates. Research and knowledge acquisition are acknowledged as pivotal elements that contribute to the advancement of a nation, as per Kenya Vision 2030.</w:t>
      </w:r>
      <w:r>
        <w:rPr>
          <w:color w:val="000000"/>
        </w:rPr>
        <w:footnoteReference w:id="3"/>
      </w:r>
      <w:r>
        <w:rPr>
          <w:color w:val="000000"/>
        </w:rPr>
        <w:t xml:space="preserve"> Nonetheless, little attention has been given to the training, nurturing and bolstering of supervisors whose expertise plays an indispensable role in achieving these objectives.</w:t>
      </w:r>
    </w:p>
    <w:p w14:paraId="7A70F645" w14:textId="6ABFAF03" w:rsidR="00E70B08" w:rsidRDefault="00D13AB7" w:rsidP="00E70B08">
      <w:pPr>
        <w:spacing w:before="120" w:after="120"/>
        <w:ind w:firstLine="227"/>
        <w:jc w:val="both"/>
        <w:rPr>
          <w:color w:val="000000"/>
        </w:rPr>
      </w:pPr>
      <w:r>
        <w:rPr>
          <w:color w:val="000000"/>
        </w:rPr>
        <w:t>The higher education system in Kenya, as witnessed in other African countries, and particularly in terms of post graduate studies, faces a myriad of problems. This means that African universities are not able</w:t>
      </w:r>
      <w:r w:rsidR="00DD7438">
        <w:rPr>
          <w:color w:val="000000"/>
        </w:rPr>
        <w:t xml:space="preserve"> </w:t>
      </w:r>
      <w:r>
        <w:rPr>
          <w:color w:val="000000"/>
        </w:rPr>
        <w:t>to compete favourably with the other universities in the developed countries which brings about clear inequality. According to Bolton et al., (2023) Nigeria is among the top ten countries in the world that sends postgraduate students to the UK. The major reasons highlighted as to why students prefer studying in the UK indicate that there are high chances of obtaining employment in the country of study, as well as increased prestige. This happens at the expense of the already struggling universities in Africa where the income from the postgraduate</w:t>
      </w:r>
      <w:r w:rsidR="00E70B08">
        <w:rPr>
          <w:color w:val="000000"/>
        </w:rPr>
        <w:t xml:space="preserve"> </w:t>
      </w:r>
      <w:r>
        <w:rPr>
          <w:color w:val="000000"/>
        </w:rPr>
        <w:t>studies is dwindling,</w:t>
      </w:r>
      <w:r w:rsidR="00E70B08">
        <w:rPr>
          <w:color w:val="000000"/>
        </w:rPr>
        <w:t xml:space="preserve"> </w:t>
      </w:r>
      <w:r>
        <w:rPr>
          <w:color w:val="000000"/>
        </w:rPr>
        <w:t>at the same time as</w:t>
      </w:r>
      <w:r w:rsidR="00E70B08">
        <w:rPr>
          <w:color w:val="000000"/>
        </w:rPr>
        <w:t xml:space="preserve"> </w:t>
      </w:r>
      <w:r>
        <w:rPr>
          <w:color w:val="000000"/>
        </w:rPr>
        <w:t>it increases in already developed countries (</w:t>
      </w:r>
      <w:proofErr w:type="spellStart"/>
      <w:r>
        <w:rPr>
          <w:color w:val="000000"/>
        </w:rPr>
        <w:t>Mogaji</w:t>
      </w:r>
      <w:proofErr w:type="spellEnd"/>
      <w:r>
        <w:rPr>
          <w:color w:val="000000"/>
        </w:rPr>
        <w:t xml:space="preserve"> et al., 2021). </w:t>
      </w:r>
    </w:p>
    <w:p w14:paraId="1C25BA9B" w14:textId="77777777" w:rsidR="005A30A6" w:rsidRDefault="00D13AB7" w:rsidP="00E70B08">
      <w:pPr>
        <w:spacing w:before="240" w:after="120"/>
        <w:ind w:left="227" w:hanging="227"/>
        <w:rPr>
          <w:b/>
          <w:color w:val="000000"/>
          <w:sz w:val="24"/>
          <w:szCs w:val="24"/>
        </w:rPr>
      </w:pPr>
      <w:r>
        <w:rPr>
          <w:b/>
          <w:color w:val="000000"/>
          <w:sz w:val="24"/>
          <w:szCs w:val="24"/>
        </w:rPr>
        <w:lastRenderedPageBreak/>
        <w:t>Comparisons and Contrasts</w:t>
      </w:r>
    </w:p>
    <w:p w14:paraId="6E748B8C" w14:textId="77777777" w:rsidR="005A30A6" w:rsidRDefault="00D13AB7" w:rsidP="00E70B08">
      <w:pPr>
        <w:spacing w:before="120" w:after="120"/>
        <w:ind w:firstLine="227"/>
        <w:jc w:val="both"/>
        <w:rPr>
          <w:color w:val="000000"/>
        </w:rPr>
      </w:pPr>
      <w:r>
        <w:rPr>
          <w:color w:val="000000"/>
        </w:rPr>
        <w:t xml:space="preserve">As much as the problems of doctoral studies in Kenya and around Africa have been highlighted, this does not mean that the global north does not experience any kind of similar challenges. </w:t>
      </w:r>
      <w:proofErr w:type="spellStart"/>
      <w:r>
        <w:rPr>
          <w:color w:val="000000"/>
        </w:rPr>
        <w:t>Oanda</w:t>
      </w:r>
      <w:proofErr w:type="spellEnd"/>
      <w:r>
        <w:rPr>
          <w:color w:val="000000"/>
        </w:rPr>
        <w:t xml:space="preserve"> and Jowi (2012) observe that the exponential growth of universities and student enrolments in Kenya and Ethiopia has resulted in a perceived deterioration of quality in higher education. These sentiments are echoed by Taylor and Wisker (2023) who note that massification of doctoral students in the UK has seen the growth in the numbers of doctoral candidates which has far outpaced the growth in the number supervisors, meaning that supervisory loads have had to rise considerably in recent years. The authors also observed that there was often insufficient time allocation for supervision which has led to differences in workload models between universities. </w:t>
      </w:r>
    </w:p>
    <w:p w14:paraId="081A5F64" w14:textId="77777777" w:rsidR="005A30A6" w:rsidRDefault="00D13AB7" w:rsidP="00E70B08">
      <w:pPr>
        <w:spacing w:before="120" w:after="120"/>
        <w:ind w:firstLine="227"/>
        <w:jc w:val="both"/>
        <w:rPr>
          <w:color w:val="000000"/>
        </w:rPr>
      </w:pPr>
      <w:r>
        <w:rPr>
          <w:color w:val="000000"/>
        </w:rPr>
        <w:t>One of the predicaments associated with the surging numbers of advanced degrees is the matter of supervision. Askew et al., (2016) divulge that certain European academics are disinclined to undertake supervisory roles as part of their professional duties due to factors such as motivation and experience levels, along with external elements like workload, resources, and training (</w:t>
      </w:r>
      <w:proofErr w:type="spellStart"/>
      <w:r>
        <w:rPr>
          <w:color w:val="000000"/>
        </w:rPr>
        <w:t>Boehe</w:t>
      </w:r>
      <w:proofErr w:type="spellEnd"/>
      <w:r>
        <w:rPr>
          <w:color w:val="000000"/>
        </w:rPr>
        <w:t xml:space="preserve">, 2016; Lindén, Ohlin &amp; Brodin, 2013; Sadowski, Schneider &amp; Thaller, 2008; </w:t>
      </w:r>
      <w:proofErr w:type="spellStart"/>
      <w:r>
        <w:rPr>
          <w:color w:val="000000"/>
        </w:rPr>
        <w:t>Vilkinas</w:t>
      </w:r>
      <w:proofErr w:type="spellEnd"/>
      <w:r>
        <w:rPr>
          <w:color w:val="000000"/>
        </w:rPr>
        <w:t xml:space="preserve">, 2008; Buttery et al., 2005; Sadowski et al., 2008). This same challenge is experienced in Kenya and across Africa where academics face overwhelming workloads that encompass teaching sizeable cohorts of lower-level degree students alongside postgraduate candidates (Manderson et al., 2017). Furthermore, Manderson et al., (2017) acknowledge that acquiring sufficient time for personal professional development in supervision practices and pedagogies is also a formidable challenge. It is noteworthy that formal training for supervising doctoral students is not typically included in the on-boarding process for academics in Kenya, with the expectation being that these skills will be acquired through experience. Additionally, engaging in part-time teaching to supplement earnings is prevalent within African institutions of higher education (Manderson et al., 2017). </w:t>
      </w:r>
    </w:p>
    <w:p w14:paraId="76CA3799" w14:textId="77777777" w:rsidR="005A30A6" w:rsidRDefault="00D13AB7" w:rsidP="00E70B08">
      <w:pPr>
        <w:spacing w:before="120" w:after="120"/>
        <w:ind w:firstLine="227"/>
        <w:jc w:val="both"/>
        <w:rPr>
          <w:color w:val="000000"/>
        </w:rPr>
      </w:pPr>
      <w:r>
        <w:rPr>
          <w:color w:val="000000"/>
        </w:rPr>
        <w:t>The attrition rate of doctoral students poses a formidable challenge for countries across the globe, regardless of their geographic location. Kis et al., (2022) have observed that the attrition rates in both North America (Gardner, 2009) and Europe (</w:t>
      </w:r>
      <w:proofErr w:type="spellStart"/>
      <w:r>
        <w:rPr>
          <w:color w:val="000000"/>
        </w:rPr>
        <w:t>Leijen</w:t>
      </w:r>
      <w:proofErr w:type="spellEnd"/>
      <w:r>
        <w:rPr>
          <w:color w:val="000000"/>
        </w:rPr>
        <w:t xml:space="preserve"> et al., 2016) are alarmingly high, ranging from 40% to 60% of enrolled students. Although funding is often cited as a key reason for this phenomenon, Kis et al., (2022) acknowledge that even in the Netherlands where most PhD students receive salaries as employees, the attrition rates remain stubbornly high. Indeed, concerns have been raised about research climate being one of the major contributing factors to this issue. The research environment encompasses various factors, including supervisory conduct towards PhD candidates (</w:t>
      </w:r>
      <w:proofErr w:type="spellStart"/>
      <w:r>
        <w:rPr>
          <w:color w:val="000000"/>
        </w:rPr>
        <w:t>Berdanier</w:t>
      </w:r>
      <w:proofErr w:type="spellEnd"/>
      <w:r>
        <w:rPr>
          <w:color w:val="000000"/>
        </w:rPr>
        <w:t xml:space="preserve"> et al., 2020); work demands experienced by the candidates; the quality of both academic and personal relationships with their supervisors; a sense of belonging within the programme, and the extent to which they are granted autonomy in carrying out their research projects (</w:t>
      </w:r>
      <w:proofErr w:type="spellStart"/>
      <w:r>
        <w:rPr>
          <w:color w:val="000000"/>
        </w:rPr>
        <w:t>Mattijssen</w:t>
      </w:r>
      <w:proofErr w:type="spellEnd"/>
      <w:r>
        <w:rPr>
          <w:color w:val="000000"/>
        </w:rPr>
        <w:t xml:space="preserve"> et al., 2020). Although attrition rates continue to be elevated throughout Europe, it seems that funding is not a major contributing factor in comparison to Kenya. Research indicates that those PhD candidates who possess more stable financial resources are more likely to successfully complete their training (Skopek et al., 2020; </w:t>
      </w:r>
      <w:proofErr w:type="spellStart"/>
      <w:r>
        <w:rPr>
          <w:color w:val="000000"/>
        </w:rPr>
        <w:t>Sverdlik</w:t>
      </w:r>
      <w:proofErr w:type="spellEnd"/>
      <w:r>
        <w:rPr>
          <w:color w:val="000000"/>
        </w:rPr>
        <w:t xml:space="preserve"> et al., 2018).</w:t>
      </w:r>
    </w:p>
    <w:p w14:paraId="46C3D23B" w14:textId="77777777" w:rsidR="005A30A6" w:rsidRDefault="00D13AB7" w:rsidP="00E70B08">
      <w:pPr>
        <w:spacing w:before="120" w:after="120"/>
        <w:ind w:firstLine="227"/>
        <w:jc w:val="both"/>
        <w:rPr>
          <w:color w:val="000000"/>
        </w:rPr>
      </w:pPr>
      <w:r>
        <w:rPr>
          <w:color w:val="000000"/>
        </w:rPr>
        <w:t xml:space="preserve">This paper also aims to juxtapose the issues plaguing higher education institutions </w:t>
      </w:r>
      <w:proofErr w:type="gramStart"/>
      <w:r>
        <w:rPr>
          <w:color w:val="000000"/>
        </w:rPr>
        <w:t>in  Africa</w:t>
      </w:r>
      <w:proofErr w:type="gramEnd"/>
      <w:r>
        <w:rPr>
          <w:color w:val="000000"/>
        </w:rPr>
        <w:t xml:space="preserve"> with those of the Global North. One of the differences noted in Africa as compared to Europe is the issue of funding of doctoral education. </w:t>
      </w:r>
      <w:proofErr w:type="spellStart"/>
      <w:r>
        <w:rPr>
          <w:color w:val="000000"/>
        </w:rPr>
        <w:t>Hasgall</w:t>
      </w:r>
      <w:proofErr w:type="spellEnd"/>
      <w:r>
        <w:rPr>
          <w:color w:val="000000"/>
        </w:rPr>
        <w:t xml:space="preserve"> et al., (2019) note that the most dominant funding for doctoral studies comes from the national public resources among other funders, even though with some disparities from country to country. This indicates that doctoral candidates in Europe have higher chances of completing their studies in time and with less stress which translates to better quality research and dissertations. Home students in the United Kingdom (UK) enjoy a distinct advantage over international PhD students and self-funded individuals, owing to the relatively lower cost of pursuing a PhD programme and greater access to </w:t>
      </w:r>
      <w:r>
        <w:rPr>
          <w:color w:val="000000"/>
        </w:rPr>
        <w:lastRenderedPageBreak/>
        <w:t>student loans and other funding sources (</w:t>
      </w:r>
      <w:proofErr w:type="spellStart"/>
      <w:r>
        <w:rPr>
          <w:color w:val="000000"/>
        </w:rPr>
        <w:t>Mogaji</w:t>
      </w:r>
      <w:proofErr w:type="spellEnd"/>
      <w:r>
        <w:rPr>
          <w:color w:val="000000"/>
        </w:rPr>
        <w:t xml:space="preserve"> et. al, 2021). </w:t>
      </w:r>
    </w:p>
    <w:p w14:paraId="6164FFC4" w14:textId="77777777" w:rsidR="005A30A6" w:rsidRDefault="00D13AB7" w:rsidP="00E70B08">
      <w:pPr>
        <w:spacing w:before="120" w:after="120"/>
        <w:ind w:firstLine="227"/>
        <w:jc w:val="both"/>
        <w:rPr>
          <w:color w:val="000000"/>
        </w:rPr>
      </w:pPr>
      <w:r>
        <w:rPr>
          <w:color w:val="000000"/>
        </w:rPr>
        <w:t>However, in Africa the situation is different because there is very low funding of doctoral studies and research by the African governments, and an over reliance of foreign funding (Arvanitis &amp; Mouton, 2019). The provision of funding for doctoral studies has a significant impact on various aspects, including the selection of research topics, duration of the research process, attrition rates, as well as completion time and rate (</w:t>
      </w:r>
      <w:proofErr w:type="spellStart"/>
      <w:r>
        <w:rPr>
          <w:color w:val="000000"/>
        </w:rPr>
        <w:t>Torka</w:t>
      </w:r>
      <w:proofErr w:type="spellEnd"/>
      <w:r>
        <w:rPr>
          <w:color w:val="000000"/>
        </w:rPr>
        <w:t xml:space="preserve"> et al., 2023). Therefore, insufficient or non-existent funding can lead to sub-par dissertation quality and heightened stress levels on both the student and the supervisor.</w:t>
      </w:r>
    </w:p>
    <w:p w14:paraId="7AB4F657" w14:textId="77777777" w:rsidR="005A30A6" w:rsidRDefault="00D13AB7" w:rsidP="00E70B08">
      <w:pPr>
        <w:spacing w:before="120" w:after="120"/>
        <w:ind w:firstLine="227"/>
        <w:jc w:val="both"/>
        <w:rPr>
          <w:color w:val="000000"/>
        </w:rPr>
      </w:pPr>
      <w:r>
        <w:rPr>
          <w:color w:val="000000"/>
        </w:rPr>
        <w:t>This reflective article acknowledges the commonalities in the challenges faced by doctoral students in African countries and selected regions of the Global North. Nevertheless, it is crucial to acknowledge that these obstacles are particularly heightened and severe in Africa. Consequently, numerous doctoral students from Africa choose to pursue their academic endeavours abroad - some through personal financing, while others depend on international scholarships. This phenomenon underscores a social justice concern, highlighting the stark disparities in higher education opportunities between the two regions.</w:t>
      </w:r>
    </w:p>
    <w:p w14:paraId="784FD1E7" w14:textId="77777777" w:rsidR="00E70B08" w:rsidRPr="00E70B08" w:rsidRDefault="00E70B08" w:rsidP="00E70B08">
      <w:pPr>
        <w:spacing w:before="240" w:after="120"/>
        <w:ind w:left="227"/>
        <w:rPr>
          <w:color w:val="000000"/>
        </w:rPr>
      </w:pPr>
    </w:p>
    <w:p w14:paraId="0B5B5647" w14:textId="5AA49E0A" w:rsidR="005A30A6" w:rsidRDefault="00D13AB7" w:rsidP="00E70B08">
      <w:pPr>
        <w:spacing w:before="240" w:after="120"/>
        <w:ind w:left="227" w:hanging="227"/>
        <w:rPr>
          <w:color w:val="000000"/>
        </w:rPr>
      </w:pPr>
      <w:r>
        <w:rPr>
          <w:b/>
          <w:color w:val="000000"/>
          <w:sz w:val="24"/>
          <w:szCs w:val="24"/>
        </w:rPr>
        <w:t>Social Justice Overview</w:t>
      </w:r>
    </w:p>
    <w:p w14:paraId="4A09A035" w14:textId="77777777" w:rsidR="005A30A6" w:rsidRDefault="00D13AB7" w:rsidP="00E70B08">
      <w:pPr>
        <w:spacing w:before="120" w:after="120"/>
        <w:ind w:firstLine="227"/>
        <w:jc w:val="both"/>
        <w:rPr>
          <w:color w:val="000000"/>
        </w:rPr>
      </w:pPr>
      <w:r>
        <w:rPr>
          <w:color w:val="000000"/>
        </w:rPr>
        <w:t xml:space="preserve">Within the realm of discussions regarding social justice, a prevailing idea is that it is imperative for essential resources and opportunities to be available to all members of a given community. These fundamental necessities include accessibility to affordable and high-quality healthcare, education, and housing. However, the equitable provision of healthcare, housing, education and security is not a reality for most African countries. </w:t>
      </w:r>
      <w:proofErr w:type="spellStart"/>
      <w:r>
        <w:rPr>
          <w:color w:val="000000"/>
        </w:rPr>
        <w:t>Tusting</w:t>
      </w:r>
      <w:proofErr w:type="spellEnd"/>
      <w:r>
        <w:rPr>
          <w:color w:val="000000"/>
        </w:rPr>
        <w:t xml:space="preserve">, et al., (2020) posit a correlation between quality housing and health in Sub-Saharan Africa. Despite some progress made towards improving living conditions, significant work remains to be done in this regard. A </w:t>
      </w:r>
      <w:r>
        <w:rPr>
          <w:color w:val="000000"/>
        </w:rPr>
        <w:t xml:space="preserve">correlation can also be seen between housing, health and quality of education. </w:t>
      </w:r>
    </w:p>
    <w:p w14:paraId="6E53F6DB" w14:textId="77777777" w:rsidR="005A30A6" w:rsidRDefault="00D13AB7" w:rsidP="00E70B08">
      <w:pPr>
        <w:spacing w:before="120" w:after="120"/>
        <w:ind w:firstLine="227"/>
        <w:jc w:val="both"/>
        <w:rPr>
          <w:color w:val="000000"/>
        </w:rPr>
      </w:pPr>
      <w:r>
        <w:rPr>
          <w:color w:val="000000"/>
        </w:rPr>
        <w:t xml:space="preserve">In Kenya, there is a pressing need to address the issue of equitable resource distribution across various geographical locations by highlighting the situation </w:t>
      </w:r>
      <w:proofErr w:type="gramStart"/>
      <w:r>
        <w:rPr>
          <w:color w:val="000000"/>
        </w:rPr>
        <w:t>of  different</w:t>
      </w:r>
      <w:proofErr w:type="gramEnd"/>
      <w:r>
        <w:rPr>
          <w:color w:val="000000"/>
        </w:rPr>
        <w:t xml:space="preserve"> counties in terms of basic needs like health care, sanitation, drinking water and education (KNBS, 2020). </w:t>
      </w:r>
      <w:proofErr w:type="spellStart"/>
      <w:r>
        <w:rPr>
          <w:color w:val="000000"/>
        </w:rPr>
        <w:t>Muricho</w:t>
      </w:r>
      <w:proofErr w:type="spellEnd"/>
      <w:r>
        <w:rPr>
          <w:color w:val="000000"/>
        </w:rPr>
        <w:t xml:space="preserve"> (2023) has drawn attention to the challenges currently facing the Kenyan education system during implementation of the new competency-based curriculum</w:t>
      </w:r>
      <w:r>
        <w:rPr>
          <w:color w:val="000000"/>
        </w:rPr>
        <w:footnoteReference w:id="4"/>
      </w:r>
      <w:r>
        <w:rPr>
          <w:color w:val="000000"/>
        </w:rPr>
        <w:t xml:space="preserve">; these include inadequate funding, disparities in quality between public and private institutions, overcrowded classrooms and a shortage of teachers relative to high teacher-student ratios. Nevertheless, the matter of disparate allocation of resources is not exclusive to </w:t>
      </w:r>
      <w:proofErr w:type="gramStart"/>
      <w:r>
        <w:rPr>
          <w:color w:val="000000"/>
        </w:rPr>
        <w:t>developing ,</w:t>
      </w:r>
      <w:proofErr w:type="gramEnd"/>
      <w:r>
        <w:rPr>
          <w:color w:val="000000"/>
        </w:rPr>
        <w:t xml:space="preserve"> but is also a pressing concern in developed countries such as the United Kingdom (UK), as exemplified by its rallying cry for "levelling up" between the more prosperous southern counties of the country and the poorer, industrial areas in the north. A per Taylor's (2022) analysis, the United Kingdom presently ranks among the most regionally disparate nations in the developed world. In response to this pressing issue, the government has released a white paper detailing their strategy for "levelling up," which includes 12 distinct missions aimed at bolstering economic and educational prospects throughout all regions of the country (HM Government, </w:t>
      </w:r>
      <w:hyperlink r:id="rId12" w:history="1">
        <w:r>
          <w:rPr>
            <w:color w:val="000000"/>
          </w:rPr>
          <w:t>2022</w:t>
        </w:r>
      </w:hyperlink>
      <w:r>
        <w:rPr>
          <w:color w:val="000000"/>
        </w:rPr>
        <w:t xml:space="preserve">). </w:t>
      </w:r>
    </w:p>
    <w:p w14:paraId="26321517" w14:textId="77777777" w:rsidR="005A30A6" w:rsidRDefault="00D13AB7" w:rsidP="00E70B08">
      <w:pPr>
        <w:spacing w:before="120" w:after="120"/>
        <w:ind w:firstLine="227"/>
        <w:jc w:val="both"/>
        <w:rPr>
          <w:color w:val="000000"/>
        </w:rPr>
      </w:pPr>
      <w:r>
        <w:rPr>
          <w:color w:val="000000"/>
        </w:rPr>
        <w:t xml:space="preserve">The issue of fairness in the distribution of wealth and resources is a common factor that affects both developing and developed countries. Although these nations may view social justice from different perspectives, it is clear that there is a pressing need to address social justice issues at all levels. This includes ensuring that everyone has equal access to basic necessities such as healthcare, education, and employment opportunities. Furthermore, it means addressing systemic inequalities that perpetuate poverty and marginalisation, particularly for historically disadvantaged groups. By prioritising social justice, societies can work towards a more equitable future where everyone has the opportunity </w:t>
      </w:r>
      <w:r>
        <w:rPr>
          <w:color w:val="000000"/>
        </w:rPr>
        <w:lastRenderedPageBreak/>
        <w:t>to thrive and reach their full potential regardless of their background or circumstances.</w:t>
      </w:r>
    </w:p>
    <w:p w14:paraId="7C8540BB" w14:textId="77777777" w:rsidR="00DD7438" w:rsidRDefault="00DD7438" w:rsidP="00E70B08">
      <w:pPr>
        <w:spacing w:before="120" w:after="120"/>
        <w:ind w:firstLine="227"/>
        <w:jc w:val="both"/>
        <w:rPr>
          <w:color w:val="000000"/>
        </w:rPr>
      </w:pPr>
    </w:p>
    <w:p w14:paraId="6A5FCBA0" w14:textId="77777777" w:rsidR="005A30A6" w:rsidRDefault="00D13AB7" w:rsidP="00E70B08">
      <w:pPr>
        <w:spacing w:before="240" w:after="120"/>
        <w:ind w:left="227" w:hanging="227"/>
        <w:rPr>
          <w:color w:val="000000"/>
        </w:rPr>
      </w:pPr>
      <w:r>
        <w:rPr>
          <w:b/>
          <w:color w:val="000000"/>
          <w:sz w:val="24"/>
          <w:szCs w:val="24"/>
        </w:rPr>
        <w:t>Social Justice in Higher Education</w:t>
      </w:r>
    </w:p>
    <w:p w14:paraId="7813A2C5" w14:textId="77777777" w:rsidR="005A30A6" w:rsidRDefault="00D13AB7">
      <w:pPr>
        <w:spacing w:before="200" w:after="120"/>
        <w:ind w:firstLine="227"/>
        <w:jc w:val="both"/>
        <w:rPr>
          <w:b/>
          <w:bCs/>
          <w:color w:val="000000"/>
        </w:rPr>
      </w:pPr>
      <w:r>
        <w:rPr>
          <w:b/>
          <w:bCs/>
          <w:color w:val="000000"/>
        </w:rPr>
        <w:t>Justice as fairness</w:t>
      </w:r>
    </w:p>
    <w:p w14:paraId="2458641E" w14:textId="77777777" w:rsidR="005A30A6" w:rsidRDefault="00D13AB7" w:rsidP="00E70B08">
      <w:pPr>
        <w:spacing w:before="120" w:after="120"/>
        <w:ind w:firstLine="227"/>
        <w:jc w:val="both"/>
        <w:rPr>
          <w:color w:val="000000"/>
        </w:rPr>
      </w:pPr>
      <w:r>
        <w:rPr>
          <w:color w:val="000000"/>
        </w:rPr>
        <w:t>John Rawls, a distinguished American political philosopher renowned for his contributions to the liberal tradition, expounded upon his theory of justice as fairness. This theory envisions a society where autonomous individuals possess equivalent fundamental rights and collaborate within an egalitarian economic system. Its emphasis on cooperation and equality among citizens underscores the significance of social harmony and shared responsibility in creating a just society (Werner, 2021).</w:t>
      </w:r>
    </w:p>
    <w:p w14:paraId="6E0592CF" w14:textId="77777777" w:rsidR="005A30A6" w:rsidRDefault="00D13AB7" w:rsidP="00E70B08">
      <w:pPr>
        <w:spacing w:before="120" w:after="120"/>
        <w:ind w:firstLine="227"/>
        <w:jc w:val="both"/>
        <w:rPr>
          <w:color w:val="000000"/>
        </w:rPr>
      </w:pPr>
      <w:r>
        <w:rPr>
          <w:color w:val="000000"/>
        </w:rPr>
        <w:t>In his seminal work Theory of Justice (1971), Rawls also argues that justice as fairness surpasses utilitarianism, which was dominant in modern political thought of the time. In simple terms, Rawls was saying that justice is the most important thing for a society to have. He believed that there were certain rights that everyone should have, called natural rights, that should never be taken away. He imagined a scenario called the original position, where people are in a state of nature and are creating a society together. In this scenario, they don't know anything about themselves or each other, which he calls the veil of ignorance. This helps ensure that the principles of justice they come up with are fair for everyone, since they don't know how they will personally be affected by these principles.</w:t>
      </w:r>
    </w:p>
    <w:p w14:paraId="66DE0D14" w14:textId="77777777" w:rsidR="005A30A6" w:rsidRDefault="00D13AB7" w:rsidP="00E70B08">
      <w:pPr>
        <w:spacing w:before="120" w:after="120"/>
        <w:ind w:firstLine="227"/>
        <w:jc w:val="both"/>
        <w:rPr>
          <w:color w:val="000000"/>
        </w:rPr>
      </w:pPr>
      <w:r>
        <w:rPr>
          <w:color w:val="000000"/>
        </w:rPr>
        <w:t xml:space="preserve">Rawls devised two principles of justice as fairness: </w:t>
      </w:r>
    </w:p>
    <w:p w14:paraId="6FA89819" w14:textId="77777777" w:rsidR="005A30A6" w:rsidRDefault="00D13AB7" w:rsidP="00E70B08">
      <w:pPr>
        <w:spacing w:before="120" w:after="120"/>
        <w:ind w:firstLine="227"/>
        <w:jc w:val="both"/>
        <w:rPr>
          <w:color w:val="000000"/>
        </w:rPr>
      </w:pPr>
      <w:r>
        <w:rPr>
          <w:color w:val="000000"/>
        </w:rPr>
        <w:t xml:space="preserve">First Principle: </w:t>
      </w:r>
      <w:proofErr w:type="gramStart"/>
      <w:r>
        <w:rPr>
          <w:color w:val="000000"/>
        </w:rPr>
        <w:t>Each individual</w:t>
      </w:r>
      <w:proofErr w:type="gramEnd"/>
      <w:r>
        <w:rPr>
          <w:color w:val="000000"/>
        </w:rPr>
        <w:t xml:space="preserve"> has an absolute claim to a fully adequate scheme of equal basic liberties compatible with identical liberties for all.</w:t>
      </w:r>
    </w:p>
    <w:p w14:paraId="31DFDD23" w14:textId="77777777" w:rsidR="005A30A6" w:rsidRDefault="00D13AB7" w:rsidP="00E70B08">
      <w:pPr>
        <w:spacing w:before="120" w:after="120"/>
        <w:ind w:firstLine="227"/>
        <w:jc w:val="both"/>
        <w:rPr>
          <w:color w:val="000000"/>
        </w:rPr>
      </w:pPr>
      <w:r>
        <w:rPr>
          <w:color w:val="000000"/>
        </w:rPr>
        <w:t>Second Principle: Social and economic inequalities must satisfy two conditions:</w:t>
      </w:r>
    </w:p>
    <w:p w14:paraId="74334A79" w14:textId="77777777" w:rsidR="005A30A6" w:rsidRDefault="00D13AB7" w:rsidP="00E70B08">
      <w:pPr>
        <w:spacing w:before="120" w:after="120"/>
        <w:ind w:firstLine="227"/>
        <w:jc w:val="both"/>
        <w:rPr>
          <w:color w:val="000000"/>
        </w:rPr>
      </w:pPr>
      <w:r>
        <w:rPr>
          <w:color w:val="000000"/>
        </w:rPr>
        <w:t xml:space="preserve">1) They must be attached to positions open to all under conditions of fair equality </w:t>
      </w:r>
      <w:proofErr w:type="gramStart"/>
      <w:r>
        <w:rPr>
          <w:color w:val="000000"/>
        </w:rPr>
        <w:t>opportunity;</w:t>
      </w:r>
      <w:proofErr w:type="gramEnd"/>
      <w:r>
        <w:rPr>
          <w:color w:val="000000"/>
        </w:rPr>
        <w:t xml:space="preserve"> </w:t>
      </w:r>
    </w:p>
    <w:p w14:paraId="6EBCFE16" w14:textId="77777777" w:rsidR="005A30A6" w:rsidRDefault="00D13AB7" w:rsidP="00E70B08">
      <w:pPr>
        <w:spacing w:before="120" w:after="120"/>
        <w:ind w:firstLine="227"/>
        <w:jc w:val="both"/>
        <w:rPr>
          <w:color w:val="000000"/>
        </w:rPr>
      </w:pPr>
      <w:r>
        <w:rPr>
          <w:color w:val="000000"/>
        </w:rPr>
        <w:t>2) They must benefit those who are least advantaged in society (the difference principle).</w:t>
      </w:r>
      <w:r>
        <w:rPr>
          <w:color w:val="000000"/>
        </w:rPr>
        <w:footnoteReference w:id="5"/>
      </w:r>
    </w:p>
    <w:p w14:paraId="636C9531" w14:textId="77777777" w:rsidR="005A30A6" w:rsidRDefault="00D13AB7" w:rsidP="00E70B08">
      <w:pPr>
        <w:spacing w:before="120" w:after="120"/>
        <w:ind w:firstLine="227"/>
        <w:jc w:val="both"/>
        <w:rPr>
          <w:color w:val="000000"/>
        </w:rPr>
      </w:pPr>
      <w:r>
        <w:rPr>
          <w:color w:val="000000"/>
        </w:rPr>
        <w:t>John Rawls' "original position" thought experiment, which forms the basis of his first principle of justice, echoes the widely held belief that everyone deserves equal access to quality education. However, Rawls' theory goes beyond mere access. It emphasizes that these opportunities cannot be restricted based on factors like socio-economic background.</w:t>
      </w:r>
    </w:p>
    <w:p w14:paraId="57A454BD" w14:textId="77777777" w:rsidR="005A30A6" w:rsidRDefault="00D13AB7" w:rsidP="00E70B08">
      <w:pPr>
        <w:spacing w:before="120" w:after="120"/>
        <w:ind w:firstLine="227"/>
        <w:jc w:val="both"/>
        <w:rPr>
          <w:color w:val="000000"/>
        </w:rPr>
      </w:pPr>
      <w:r>
        <w:rPr>
          <w:color w:val="000000"/>
        </w:rPr>
        <w:t>For instance, Rawls might oppose a school funding system heavily reliant on local property taxes. Such a system could create unequal educational opportunities based on location, violating the principle of equal access. In his view, resources for education should be distributed fairly to ensure everyone has a fair shot at educational achievement, even if it means redistributing wealth across communities, which potentially might be met with resistance. Here, the principle of equal educational opportunity takes precedence over local control of resources.</w:t>
      </w:r>
    </w:p>
    <w:p w14:paraId="5653ABA1" w14:textId="77777777" w:rsidR="005A30A6" w:rsidRDefault="00D13AB7" w:rsidP="00E70B08">
      <w:pPr>
        <w:spacing w:before="120" w:after="120"/>
        <w:ind w:firstLine="227"/>
        <w:jc w:val="both"/>
        <w:rPr>
          <w:color w:val="000000"/>
        </w:rPr>
      </w:pPr>
      <w:r>
        <w:rPr>
          <w:color w:val="000000"/>
        </w:rPr>
        <w:t>His second principle of justice focuses on fair equality of opportunity. This means that individuals with similar talents and abilities should have equal chances to succeed in education, regardless of their socio-economic background. Rawls also introduces the concept of the difference principle. This principle acknowledges that some degree of inequality in wealth distribution might be inevitable. For example, higher wages in certain professions could incentivize people to acquire specialized skills or fill jobs in high demand. However, the key element of the difference principle is that any such inequalities should ultimately benefit those who are most disadvantaged socio-economically.</w:t>
      </w:r>
    </w:p>
    <w:p w14:paraId="62EC1894" w14:textId="77777777" w:rsidR="005A30A6" w:rsidRDefault="00D13AB7" w:rsidP="00E70B08">
      <w:pPr>
        <w:spacing w:before="120" w:after="120"/>
        <w:ind w:firstLine="227"/>
        <w:jc w:val="both"/>
        <w:rPr>
          <w:color w:val="000000"/>
        </w:rPr>
      </w:pPr>
      <w:r>
        <w:rPr>
          <w:color w:val="000000"/>
        </w:rPr>
        <w:t xml:space="preserve">This article seeks to assess how the principles outlined by John Rawls, particularly his first principle, might be used to better understand the arguments regarding the prevalent societal inequities in the realm of higher education, not just in Kenya but also in other African nations. By analysing and applying Rawls' theory of justice, this article sheds light on the </w:t>
      </w:r>
      <w:r>
        <w:rPr>
          <w:color w:val="000000"/>
        </w:rPr>
        <w:lastRenderedPageBreak/>
        <w:t>disparities and challenges faced by individuals seeking higher education opportunities in these regions, emphasising the need for greater equity and accessibility in the education system to ensure a more just and fair society for all.</w:t>
      </w:r>
    </w:p>
    <w:p w14:paraId="1677BE7C" w14:textId="77777777" w:rsidR="005A30A6" w:rsidRDefault="00D13AB7" w:rsidP="00E70B08">
      <w:pPr>
        <w:spacing w:before="120" w:after="120"/>
        <w:ind w:firstLine="227"/>
        <w:jc w:val="both"/>
        <w:rPr>
          <w:color w:val="000000"/>
        </w:rPr>
      </w:pPr>
      <w:r>
        <w:rPr>
          <w:color w:val="000000"/>
        </w:rPr>
        <w:t>Mouton (2018) observes that global trade in the 1980s and 1990s hurt African economies. Export volumes and primary product prices fell, while exchange rates, external reserves, and debt were mishandled. This led to resource gaps and more dependence on aid. The World Bank prioritised basic education over higher education, resulting in financial crises for universities, lack of maintenance for facilities, overcrowding, and loss of top academics. This is a gross injustice stemming from the inequitable allocation of wealth, which further disadvantages an already marginalised global south. Such economic conditions in African nations severely impede the prospect of augmenting PhD enrolment and completion rates within our universities.</w:t>
      </w:r>
    </w:p>
    <w:p w14:paraId="0AD350ED" w14:textId="77777777" w:rsidR="005A30A6" w:rsidRDefault="00D13AB7" w:rsidP="00E70B08">
      <w:pPr>
        <w:spacing w:before="120" w:after="120"/>
        <w:ind w:firstLine="227"/>
        <w:jc w:val="both"/>
        <w:rPr>
          <w:color w:val="000000"/>
        </w:rPr>
      </w:pPr>
      <w:r>
        <w:rPr>
          <w:color w:val="000000"/>
        </w:rPr>
        <w:t xml:space="preserve">Kenya's research allocation, for example, is only 0.8% of GDP, which is insufficient for the country's needs. The government aims to increase funding to 2% of GDP through partnerships with private sector and foundations. Since 2008, $4 million has been allocated annually for research and innovation, but it is unclear how much goes towards PhD training, and how the government views it as a capacity-building aspect of development (Barasa and </w:t>
      </w:r>
      <w:proofErr w:type="spellStart"/>
      <w:r>
        <w:rPr>
          <w:color w:val="000000"/>
        </w:rPr>
        <w:t>Omulando</w:t>
      </w:r>
      <w:proofErr w:type="spellEnd"/>
      <w:r>
        <w:rPr>
          <w:color w:val="000000"/>
        </w:rPr>
        <w:t xml:space="preserve">, 2018). Therefore, PhD students in Kenya are required to fund their studies privately or seek funding and scholarships. While the importance of funding and international scholarships cannot be underestimated, this has seen mobility of the best brains in Africa to the global North with devastating effects of decreasing highly skilled human capital (Mouton, 2018). One of the effects of brain drain in Kenya is the lack of adequate experienced professors who are responsible in supervisions of doctoral candidates. </w:t>
      </w:r>
      <w:proofErr w:type="spellStart"/>
      <w:r>
        <w:rPr>
          <w:color w:val="000000"/>
        </w:rPr>
        <w:t>Ochwangi</w:t>
      </w:r>
      <w:proofErr w:type="spellEnd"/>
      <w:r>
        <w:rPr>
          <w:color w:val="000000"/>
        </w:rPr>
        <w:t>, et. al (2022) note that the completion rate of doctoral studies in Kenya is to a large extent influenced by the supervision process. Due to the few qualified faculty members available for supervision in Kenya, the workload of these supervisors is overwhelming causing delay of feedback, and to an extent low quality research and dissertations (Manderson et al., 2017).</w:t>
      </w:r>
    </w:p>
    <w:p w14:paraId="67D43836" w14:textId="77777777" w:rsidR="005A30A6" w:rsidRDefault="00D13AB7" w:rsidP="00E70B08">
      <w:pPr>
        <w:spacing w:before="120" w:after="120"/>
        <w:ind w:firstLine="227"/>
        <w:jc w:val="both"/>
        <w:rPr>
          <w:color w:val="000000"/>
        </w:rPr>
      </w:pPr>
      <w:r>
        <w:rPr>
          <w:color w:val="000000"/>
        </w:rPr>
        <w:t>These scenarios underscore the glaring social disparity prevalent in the sphere of higher education in Kenya and Africa as a whole, where resources like research funding and faculty members are unevenly distributed between the global south and global north. This discrepancy directly mirrors Rawls' primary principle, emphasizing the necessity of ensuring that opportunities are not restricted by factors such as socio-economic standing. The absence of fairness in the distribution of resources within the higher education domain perpetuates systemic injustices that impede the academic progress and achievement of individuals from marginalized communities. It is crucial that measures be taken to address and remedy these imbalances in order to establish a more equitable and inclusive educational landscape for all.</w:t>
      </w:r>
    </w:p>
    <w:p w14:paraId="031619CB" w14:textId="77777777" w:rsidR="00E70B08" w:rsidRDefault="00E70B08" w:rsidP="00E70B08">
      <w:pPr>
        <w:spacing w:before="240" w:after="120"/>
        <w:ind w:left="227"/>
        <w:rPr>
          <w:b/>
          <w:bCs/>
        </w:rPr>
      </w:pPr>
    </w:p>
    <w:p w14:paraId="537D5E96" w14:textId="1321646B" w:rsidR="005A30A6" w:rsidRDefault="00D13AB7" w:rsidP="00E70B08">
      <w:pPr>
        <w:spacing w:before="240" w:after="120"/>
        <w:ind w:left="227" w:hanging="227"/>
        <w:rPr>
          <w:color w:val="000000"/>
        </w:rPr>
      </w:pPr>
      <w:r>
        <w:rPr>
          <w:b/>
          <w:bCs/>
        </w:rPr>
        <w:t>Conclusion</w:t>
      </w:r>
    </w:p>
    <w:p w14:paraId="0BA27AB6" w14:textId="77777777" w:rsidR="005A30A6" w:rsidRDefault="00D13AB7" w:rsidP="00E70B08">
      <w:pPr>
        <w:spacing w:before="120" w:after="120"/>
        <w:ind w:firstLine="227"/>
        <w:jc w:val="both"/>
        <w:rPr>
          <w:color w:val="000000"/>
        </w:rPr>
      </w:pPr>
      <w:r>
        <w:rPr>
          <w:color w:val="000000"/>
        </w:rPr>
        <w:t xml:space="preserve">The present paper has highlighted the </w:t>
      </w:r>
      <w:proofErr w:type="gramStart"/>
      <w:r>
        <w:rPr>
          <w:color w:val="000000"/>
        </w:rPr>
        <w:t>myriad</w:t>
      </w:r>
      <w:proofErr w:type="gramEnd"/>
      <w:r>
        <w:rPr>
          <w:color w:val="000000"/>
        </w:rPr>
        <w:t xml:space="preserve"> of obstacles that higher education institutions encounter in Kenya and other African regions. Though it may require a significant amount of time to make noteworthy progress towards addressing social inequality in higher education settings, this paper posits that minor alterations can pave the way for major transformations. This article strongly advocates for the development of a more resilient and nurturing bond between doctoral mentors and candidates in Africa. This is crucial as these individuals play a crucial role as catalysts for transformation within institutions and in broader society. This can be accomplished by advocating for an equitable allocation of resources and tasks, offering improved financial rewards for mentors, expanding funding options for doctoral programs, and guaranteeing that African higher education institutions have access to competent faculty. Through the implementation of these strategies, the objective is to elevate the standard of doctoral education in Africa and narrow the divide between African institutions and those in the Global North. If executed, this approach would result in an enhancement of research skills, superior quality dissertations, increased completion rates, and shorter durations for completing doctoral programs. As a consequence, fewer students would seek to </w:t>
      </w:r>
      <w:r>
        <w:rPr>
          <w:color w:val="000000"/>
        </w:rPr>
        <w:lastRenderedPageBreak/>
        <w:t>pursue their postgraduate degrees abroad leading to a decrease in brain drain whilst increasing faculty members and supervisors within our institutions.</w:t>
      </w:r>
    </w:p>
    <w:p w14:paraId="17E110E6" w14:textId="77777777" w:rsidR="00E70B08" w:rsidRDefault="00D13AB7" w:rsidP="00E70B08">
      <w:pPr>
        <w:spacing w:before="120" w:after="120"/>
        <w:ind w:firstLine="227"/>
        <w:jc w:val="both"/>
        <w:rPr>
          <w:color w:val="000000"/>
        </w:rPr>
      </w:pPr>
      <w:r>
        <w:rPr>
          <w:color w:val="000000"/>
        </w:rPr>
        <w:t xml:space="preserve">Overall, although the challenges confronting higher education institutions may appear daunting at first glance; implementing small changes can have an immense impact on achieving greater social equality in academia. </w:t>
      </w:r>
      <w:proofErr w:type="gramStart"/>
      <w:r>
        <w:rPr>
          <w:color w:val="000000"/>
        </w:rPr>
        <w:t>Therefore</w:t>
      </w:r>
      <w:proofErr w:type="gramEnd"/>
      <w:r>
        <w:rPr>
          <w:color w:val="000000"/>
        </w:rPr>
        <w:t xml:space="preserve"> it is imperative that we continue striving towards establishing a more equitable educational system accessible to all.</w:t>
      </w:r>
    </w:p>
    <w:p w14:paraId="7B5D9A65" w14:textId="76B0DABC" w:rsidR="00E70B08" w:rsidRPr="007E3EC1" w:rsidRDefault="00E70B08" w:rsidP="006A3157">
      <w:pPr>
        <w:spacing w:before="240" w:after="120"/>
        <w:ind w:left="227" w:hanging="227"/>
        <w:jc w:val="both"/>
        <w:rPr>
          <w:noProof/>
          <w:sz w:val="24"/>
          <w:szCs w:val="24"/>
          <w:lang w:val="en"/>
        </w:rPr>
      </w:pPr>
      <w:r w:rsidRPr="00E70B08">
        <w:rPr>
          <w:b/>
          <w:noProof/>
          <w:sz w:val="24"/>
          <w:szCs w:val="24"/>
          <w:lang w:val="en"/>
        </w:rPr>
        <w:t>Disclosure statement</w:t>
      </w:r>
      <w:r>
        <w:rPr>
          <w:bCs/>
          <w:noProof/>
          <w:sz w:val="24"/>
          <w:szCs w:val="24"/>
          <w:lang w:val="en"/>
        </w:rPr>
        <w:t xml:space="preserve"> </w:t>
      </w:r>
    </w:p>
    <w:p w14:paraId="50F90ADA" w14:textId="5C559D16" w:rsidR="00E70B08" w:rsidRDefault="00E70B08" w:rsidP="00E70B08">
      <w:pPr>
        <w:pStyle w:val="IOPH1"/>
        <w:spacing w:before="120"/>
        <w:ind w:firstLine="227"/>
        <w:jc w:val="both"/>
        <w:rPr>
          <w:b w:val="0"/>
          <w:bCs/>
          <w:noProof/>
          <w:szCs w:val="22"/>
          <w:lang w:val="en"/>
        </w:rPr>
      </w:pPr>
      <w:r w:rsidRPr="007E3EC1">
        <w:rPr>
          <w:b w:val="0"/>
          <w:bCs/>
          <w:noProof/>
          <w:szCs w:val="22"/>
          <w:lang w:val="en"/>
        </w:rPr>
        <w:t>The author declare</w:t>
      </w:r>
      <w:r w:rsidR="006A3157">
        <w:rPr>
          <w:b w:val="0"/>
          <w:bCs/>
          <w:noProof/>
          <w:szCs w:val="22"/>
          <w:lang w:val="en"/>
        </w:rPr>
        <w:t>s</w:t>
      </w:r>
      <w:r w:rsidRPr="007E3EC1">
        <w:rPr>
          <w:b w:val="0"/>
          <w:bCs/>
          <w:noProof/>
          <w:szCs w:val="22"/>
          <w:lang w:val="en"/>
        </w:rPr>
        <w:t xml:space="preserve"> no potential conflicts of interest with respect to the research, authorship, and/or publication of this article.</w:t>
      </w:r>
      <w:r>
        <w:rPr>
          <w:b w:val="0"/>
          <w:bCs/>
          <w:noProof/>
          <w:szCs w:val="22"/>
          <w:lang w:val="en"/>
        </w:rPr>
        <w:t xml:space="preserve"> </w:t>
      </w:r>
    </w:p>
    <w:p w14:paraId="02826C12" w14:textId="7D223844" w:rsidR="005A30A6" w:rsidRDefault="005A30A6">
      <w:pPr>
        <w:rPr>
          <w:b/>
          <w:sz w:val="24"/>
          <w:szCs w:val="24"/>
        </w:rPr>
      </w:pPr>
    </w:p>
    <w:p w14:paraId="797E80F8" w14:textId="77777777" w:rsidR="00692758" w:rsidRDefault="00692758">
      <w:pPr>
        <w:rPr>
          <w:b/>
          <w:sz w:val="24"/>
          <w:szCs w:val="24"/>
        </w:rPr>
      </w:pPr>
    </w:p>
    <w:p w14:paraId="74360D05" w14:textId="77777777" w:rsidR="00692758" w:rsidRDefault="00692758">
      <w:pPr>
        <w:rPr>
          <w:b/>
          <w:sz w:val="24"/>
          <w:szCs w:val="24"/>
        </w:rPr>
      </w:pPr>
    </w:p>
    <w:p w14:paraId="62107FEB" w14:textId="77777777" w:rsidR="005E1731" w:rsidRDefault="005E1731">
      <w:pPr>
        <w:rPr>
          <w:b/>
          <w:sz w:val="24"/>
          <w:szCs w:val="24"/>
        </w:rPr>
      </w:pPr>
    </w:p>
    <w:p w14:paraId="0E686F08" w14:textId="77777777" w:rsidR="005E1731" w:rsidRDefault="005E1731">
      <w:pPr>
        <w:rPr>
          <w:b/>
          <w:sz w:val="24"/>
          <w:szCs w:val="24"/>
        </w:rPr>
      </w:pPr>
    </w:p>
    <w:p w14:paraId="3963C01A" w14:textId="77777777" w:rsidR="005E1731" w:rsidRDefault="005E1731">
      <w:pPr>
        <w:rPr>
          <w:b/>
          <w:sz w:val="24"/>
          <w:szCs w:val="24"/>
        </w:rPr>
      </w:pPr>
    </w:p>
    <w:p w14:paraId="61791B1A" w14:textId="77777777" w:rsidR="005E1731" w:rsidRDefault="005E1731">
      <w:pPr>
        <w:rPr>
          <w:b/>
          <w:sz w:val="24"/>
          <w:szCs w:val="24"/>
        </w:rPr>
      </w:pPr>
    </w:p>
    <w:p w14:paraId="30063F9C" w14:textId="77777777" w:rsidR="00692758" w:rsidRDefault="00692758">
      <w:pPr>
        <w:rPr>
          <w:b/>
          <w:sz w:val="24"/>
          <w:szCs w:val="24"/>
        </w:rPr>
      </w:pPr>
    </w:p>
    <w:p w14:paraId="3AC90AF7" w14:textId="77777777" w:rsidR="00692758" w:rsidRDefault="00692758">
      <w:pPr>
        <w:rPr>
          <w:b/>
          <w:sz w:val="24"/>
          <w:szCs w:val="24"/>
        </w:rPr>
      </w:pPr>
    </w:p>
    <w:p w14:paraId="1204F9F7" w14:textId="77777777" w:rsidR="00692758" w:rsidRDefault="00692758">
      <w:pPr>
        <w:rPr>
          <w:b/>
          <w:sz w:val="24"/>
          <w:szCs w:val="24"/>
        </w:rPr>
      </w:pPr>
    </w:p>
    <w:p w14:paraId="55B6B9FC" w14:textId="77777777" w:rsidR="00692758" w:rsidRDefault="00692758">
      <w:pPr>
        <w:rPr>
          <w:b/>
          <w:sz w:val="24"/>
          <w:szCs w:val="24"/>
        </w:rPr>
      </w:pPr>
    </w:p>
    <w:p w14:paraId="04209BB2" w14:textId="77777777" w:rsidR="00692758" w:rsidRDefault="00692758">
      <w:pPr>
        <w:rPr>
          <w:b/>
          <w:sz w:val="24"/>
          <w:szCs w:val="24"/>
        </w:rPr>
      </w:pPr>
    </w:p>
    <w:p w14:paraId="394CCDA3" w14:textId="77777777" w:rsidR="00692758" w:rsidRDefault="00692758">
      <w:pPr>
        <w:rPr>
          <w:b/>
          <w:sz w:val="24"/>
          <w:szCs w:val="24"/>
        </w:rPr>
      </w:pPr>
    </w:p>
    <w:p w14:paraId="42EA76FD" w14:textId="77777777" w:rsidR="00692758" w:rsidRDefault="00692758">
      <w:pPr>
        <w:rPr>
          <w:b/>
          <w:sz w:val="24"/>
          <w:szCs w:val="24"/>
        </w:rPr>
      </w:pPr>
    </w:p>
    <w:p w14:paraId="4F36F12A" w14:textId="77777777" w:rsidR="004770E8" w:rsidRDefault="004770E8">
      <w:pPr>
        <w:rPr>
          <w:b/>
          <w:sz w:val="24"/>
          <w:szCs w:val="24"/>
        </w:rPr>
      </w:pPr>
    </w:p>
    <w:p w14:paraId="5BCC6125" w14:textId="77777777" w:rsidR="004770E8" w:rsidRDefault="004770E8">
      <w:pPr>
        <w:rPr>
          <w:b/>
          <w:sz w:val="24"/>
          <w:szCs w:val="24"/>
        </w:rPr>
      </w:pPr>
    </w:p>
    <w:p w14:paraId="05FB463D" w14:textId="77777777" w:rsidR="004770E8" w:rsidRDefault="004770E8">
      <w:pPr>
        <w:rPr>
          <w:b/>
          <w:sz w:val="24"/>
          <w:szCs w:val="24"/>
        </w:rPr>
      </w:pPr>
    </w:p>
    <w:p w14:paraId="79777CEE" w14:textId="77777777" w:rsidR="00692758" w:rsidRDefault="00692758">
      <w:pPr>
        <w:rPr>
          <w:b/>
          <w:sz w:val="24"/>
          <w:szCs w:val="24"/>
        </w:rPr>
      </w:pPr>
    </w:p>
    <w:p w14:paraId="34832235" w14:textId="77777777" w:rsidR="00692758" w:rsidRDefault="00692758">
      <w:pPr>
        <w:rPr>
          <w:b/>
          <w:sz w:val="24"/>
          <w:szCs w:val="24"/>
        </w:rPr>
      </w:pPr>
    </w:p>
    <w:p w14:paraId="6078986C" w14:textId="77777777" w:rsidR="005A30A6" w:rsidRDefault="00D13AB7" w:rsidP="006A3157">
      <w:pPr>
        <w:spacing w:before="240" w:after="120"/>
        <w:ind w:left="227" w:hanging="227"/>
        <w:jc w:val="both"/>
        <w:rPr>
          <w:b/>
          <w:color w:val="000000"/>
          <w:sz w:val="24"/>
          <w:szCs w:val="24"/>
        </w:rPr>
      </w:pPr>
      <w:r>
        <w:rPr>
          <w:b/>
          <w:color w:val="000000"/>
          <w:sz w:val="24"/>
          <w:szCs w:val="24"/>
        </w:rPr>
        <w:t xml:space="preserve">Open Access Policy </w:t>
      </w:r>
    </w:p>
    <w:p w14:paraId="0D7C55AF" w14:textId="77777777" w:rsidR="005A30A6" w:rsidRDefault="00D13AB7" w:rsidP="006A3157">
      <w:pPr>
        <w:spacing w:before="120" w:after="120"/>
        <w:ind w:firstLine="227"/>
        <w:jc w:val="both"/>
        <w:rPr>
          <w:color w:val="000000"/>
        </w:rPr>
      </w:pPr>
      <w:r>
        <w:rPr>
          <w:color w:val="000000"/>
        </w:rPr>
        <w:t>This journal provides immediate open access to its content with no submission or publications fees. This journal article is published under the following Creative Commons Licence:</w:t>
      </w:r>
    </w:p>
    <w:p w14:paraId="75EFDB02" w14:textId="77777777" w:rsidR="005A30A6" w:rsidRDefault="00D13AB7" w:rsidP="006A3157">
      <w:pPr>
        <w:spacing w:before="120" w:after="120"/>
        <w:ind w:firstLine="227"/>
        <w:jc w:val="center"/>
        <w:rPr>
          <w:color w:val="000000"/>
        </w:rPr>
      </w:pPr>
      <w:r>
        <w:rPr>
          <w:rFonts w:ascii="Times New Roman" w:eastAsia="Times New Roman" w:hAnsi="Times New Roman" w:cs="Times New Roman"/>
          <w:noProof/>
          <w:color w:val="000000"/>
          <w:sz w:val="20"/>
          <w:szCs w:val="20"/>
        </w:rPr>
        <w:drawing>
          <wp:inline distT="0" distB="0" distL="0" distR="0" wp14:anchorId="03C1DE2D" wp14:editId="3F750DA2">
            <wp:extent cx="879475" cy="30226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12" name="image3.png"/>
                    <pic:cNvPicPr preferRelativeResize="0"/>
                  </pic:nvPicPr>
                  <pic:blipFill>
                    <a:blip r:embed="rId13"/>
                    <a:srcRect/>
                    <a:stretch>
                      <a:fillRect/>
                    </a:stretch>
                  </pic:blipFill>
                  <pic:spPr>
                    <a:xfrm>
                      <a:off x="0" y="0"/>
                      <a:ext cx="879976" cy="302769"/>
                    </a:xfrm>
                    <a:prstGeom prst="rect">
                      <a:avLst/>
                    </a:prstGeom>
                  </pic:spPr>
                </pic:pic>
              </a:graphicData>
            </a:graphic>
          </wp:inline>
        </w:drawing>
      </w:r>
    </w:p>
    <w:p w14:paraId="0DB1E406" w14:textId="77777777" w:rsidR="005A30A6" w:rsidRDefault="00D13AB7" w:rsidP="006A3157">
      <w:pPr>
        <w:spacing w:before="120" w:after="120"/>
        <w:ind w:firstLine="227"/>
        <w:jc w:val="both"/>
        <w:rPr>
          <w:color w:val="000000"/>
        </w:rPr>
      </w:pPr>
      <w:r>
        <w:rPr>
          <w:color w:val="000000"/>
        </w:rPr>
        <w:t>This licence allows others to read, download, copy, distribute, print, search, or link to this article (and other works in this journal), and/or to use them for any other lawful purpose in accordance with the licence.  </w:t>
      </w:r>
    </w:p>
    <w:p w14:paraId="7C857D3D" w14:textId="77777777" w:rsidR="005A30A6" w:rsidRDefault="00D13AB7" w:rsidP="006A3157">
      <w:pPr>
        <w:spacing w:before="120" w:after="120"/>
        <w:ind w:firstLine="227"/>
        <w:jc w:val="both"/>
        <w:rPr>
          <w:color w:val="000000"/>
        </w:rPr>
      </w:pPr>
      <w:r>
        <w:rPr>
          <w:i/>
          <w:color w:val="000000"/>
        </w:rPr>
        <w:t>PRISM</w:t>
      </w:r>
      <w:r>
        <w:rPr>
          <w:color w:val="000000"/>
        </w:rPr>
        <w:t xml:space="preserve"> is also indexed in the world largest open-access database: DOAJ (the </w:t>
      </w:r>
      <w:hyperlink r:id="rId14">
        <w:r>
          <w:rPr>
            <w:color w:val="0563C1"/>
            <w:u w:val="single"/>
          </w:rPr>
          <w:t>Directory of Open Access Journals</w:t>
        </w:r>
      </w:hyperlink>
      <w:r>
        <w:rPr>
          <w:color w:val="000000"/>
        </w:rPr>
        <w:t>). DOAJ is a community-curated online directory that indexes and provides access to high quality, open access, peer-reviewed journals.</w:t>
      </w:r>
    </w:p>
    <w:p w14:paraId="0680AA3B" w14:textId="77777777" w:rsidR="004770E8" w:rsidRDefault="004770E8" w:rsidP="006A3157">
      <w:pPr>
        <w:spacing w:before="120" w:after="120"/>
        <w:ind w:firstLine="227"/>
        <w:jc w:val="both"/>
        <w:rPr>
          <w:color w:val="000000"/>
        </w:rPr>
      </w:pPr>
    </w:p>
    <w:p w14:paraId="28227CCE" w14:textId="77777777" w:rsidR="005A30A6" w:rsidRDefault="00D13AB7">
      <w:pPr>
        <w:spacing w:before="120" w:after="120"/>
        <w:ind w:firstLine="227"/>
        <w:jc w:val="center"/>
        <w:rPr>
          <w:color w:val="000000"/>
        </w:rPr>
      </w:pPr>
      <w:r>
        <w:rPr>
          <w:rFonts w:ascii="Times New Roman" w:eastAsia="Times New Roman" w:hAnsi="Times New Roman" w:cs="Times New Roman"/>
          <w:noProof/>
          <w:color w:val="000000"/>
          <w:sz w:val="20"/>
          <w:szCs w:val="20"/>
        </w:rPr>
        <w:drawing>
          <wp:inline distT="0" distB="0" distL="0" distR="0" wp14:anchorId="0898DCEB" wp14:editId="6B5FC769">
            <wp:extent cx="1431290" cy="36766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13" name="image2.png"/>
                    <pic:cNvPicPr preferRelativeResize="0"/>
                  </pic:nvPicPr>
                  <pic:blipFill>
                    <a:blip r:embed="rId15"/>
                    <a:srcRect/>
                    <a:stretch>
                      <a:fillRect/>
                    </a:stretch>
                  </pic:blipFill>
                  <pic:spPr>
                    <a:xfrm>
                      <a:off x="0" y="0"/>
                      <a:ext cx="1431896" cy="368099"/>
                    </a:xfrm>
                    <a:prstGeom prst="rect">
                      <a:avLst/>
                    </a:prstGeom>
                  </pic:spPr>
                </pic:pic>
              </a:graphicData>
            </a:graphic>
          </wp:inline>
        </w:drawing>
      </w:r>
    </w:p>
    <w:p w14:paraId="4E1AB730" w14:textId="77777777" w:rsidR="005A30A6" w:rsidRDefault="00D13AB7">
      <w:pPr>
        <w:rPr>
          <w:b/>
          <w:sz w:val="24"/>
          <w:szCs w:val="24"/>
        </w:rPr>
      </w:pPr>
      <w:r>
        <w:br w:type="page"/>
      </w:r>
    </w:p>
    <w:p w14:paraId="71F289CC" w14:textId="77777777" w:rsidR="005A30A6" w:rsidRDefault="00D13AB7" w:rsidP="006A3157">
      <w:pPr>
        <w:spacing w:before="240" w:after="120"/>
        <w:ind w:left="227" w:hanging="227"/>
        <w:rPr>
          <w:b/>
          <w:color w:val="000000"/>
          <w:sz w:val="24"/>
          <w:szCs w:val="24"/>
        </w:rPr>
      </w:pPr>
      <w:r>
        <w:rPr>
          <w:b/>
          <w:color w:val="000000"/>
          <w:sz w:val="24"/>
          <w:szCs w:val="24"/>
        </w:rPr>
        <w:lastRenderedPageBreak/>
        <w:t>References</w:t>
      </w:r>
    </w:p>
    <w:p w14:paraId="0A042959" w14:textId="455C096B" w:rsidR="005E1731" w:rsidRPr="00E11C44" w:rsidRDefault="005E1731" w:rsidP="006A2DD4">
      <w:pPr>
        <w:spacing w:before="120" w:after="120"/>
        <w:ind w:left="227" w:hanging="227"/>
        <w:rPr>
          <w:rFonts w:asciiTheme="minorHAnsi" w:hAnsiTheme="minorHAnsi" w:cstheme="minorHAnsi"/>
          <w:sz w:val="20"/>
          <w:szCs w:val="20"/>
        </w:rPr>
      </w:pPr>
      <w:proofErr w:type="spellStart"/>
      <w:r w:rsidRPr="00E11C44">
        <w:rPr>
          <w:rFonts w:asciiTheme="minorHAnsi" w:hAnsiTheme="minorHAnsi" w:cstheme="minorHAnsi"/>
          <w:sz w:val="20"/>
          <w:szCs w:val="20"/>
        </w:rPr>
        <w:t>Akudolu</w:t>
      </w:r>
      <w:proofErr w:type="spellEnd"/>
      <w:r w:rsidRPr="00E11C44">
        <w:rPr>
          <w:rFonts w:asciiTheme="minorHAnsi" w:hAnsiTheme="minorHAnsi" w:cstheme="minorHAnsi"/>
          <w:sz w:val="20"/>
          <w:szCs w:val="20"/>
        </w:rPr>
        <w:t xml:space="preserve">, L.-R., &amp; Adeyemo, K. S. (2018). </w:t>
      </w:r>
      <w:r w:rsidRPr="00E11C44">
        <w:rPr>
          <w:rFonts w:asciiTheme="minorHAnsi" w:hAnsiTheme="minorHAnsi" w:cstheme="minorHAnsi"/>
          <w:i/>
          <w:iCs/>
          <w:sz w:val="20"/>
          <w:szCs w:val="20"/>
        </w:rPr>
        <w:t>Research and PhD capacities in Sub-Saharan Africa: Nigeria report</w:t>
      </w:r>
      <w:r w:rsidRPr="00E11C44">
        <w:rPr>
          <w:rFonts w:asciiTheme="minorHAnsi" w:hAnsiTheme="minorHAnsi" w:cstheme="minorHAnsi"/>
          <w:sz w:val="20"/>
          <w:szCs w:val="20"/>
        </w:rPr>
        <w:t>. British Council.</w:t>
      </w:r>
      <w:r w:rsidR="006A2DD4">
        <w:rPr>
          <w:rFonts w:asciiTheme="minorHAnsi" w:hAnsiTheme="minorHAnsi" w:cstheme="minorHAnsi"/>
          <w:sz w:val="20"/>
          <w:szCs w:val="20"/>
        </w:rPr>
        <w:t xml:space="preserve">                     </w:t>
      </w:r>
      <w:hyperlink r:id="rId16" w:history="1">
        <w:r w:rsidR="006A2DD4" w:rsidRPr="00153529">
          <w:rPr>
            <w:rStyle w:val="Hyperlink"/>
            <w:rFonts w:asciiTheme="minorHAnsi" w:hAnsiTheme="minorHAnsi" w:cstheme="minorHAnsi"/>
            <w:sz w:val="20"/>
            <w:szCs w:val="20"/>
          </w:rPr>
          <w:t>https://www2.daad.de/medien/der-daad/analysen-studien/research_and_phd_capacities_in_sub-saharan_africa_-_nigeria_report.pdf</w:t>
        </w:r>
      </w:hyperlink>
      <w:r w:rsidR="006A2DD4">
        <w:rPr>
          <w:rFonts w:asciiTheme="minorHAnsi" w:hAnsiTheme="minorHAnsi" w:cstheme="minorHAnsi"/>
          <w:sz w:val="20"/>
          <w:szCs w:val="20"/>
        </w:rPr>
        <w:t xml:space="preserve"> </w:t>
      </w:r>
    </w:p>
    <w:p w14:paraId="5CB2FFF7"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Akuru, U. B. (2019). Research funding issues in African universities: Penalties and pathways. </w:t>
      </w:r>
      <w:r w:rsidRPr="00E11C44">
        <w:rPr>
          <w:rFonts w:asciiTheme="minorHAnsi" w:hAnsiTheme="minorHAnsi" w:cstheme="minorHAnsi"/>
          <w:i/>
          <w:iCs/>
          <w:sz w:val="20"/>
          <w:szCs w:val="20"/>
        </w:rPr>
        <w:t>Journal of Sustainable Development Studies, 12</w:t>
      </w:r>
      <w:r w:rsidRPr="00E11C44">
        <w:rPr>
          <w:rFonts w:asciiTheme="minorHAnsi" w:hAnsiTheme="minorHAnsi" w:cstheme="minorHAnsi"/>
          <w:sz w:val="20"/>
          <w:szCs w:val="20"/>
        </w:rPr>
        <w:t>(2), 305–327.</w:t>
      </w:r>
    </w:p>
    <w:p w14:paraId="5A128F41"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Alves, P., Lopes, A., Cruz-Correia, R., &amp; Menezes, I. (2023). The interrupted journey: Factors and processes related to withdrawal, re-enrolment and dropout from doctoral education. </w:t>
      </w:r>
      <w:r w:rsidRPr="00E11C44">
        <w:rPr>
          <w:rFonts w:asciiTheme="minorHAnsi" w:hAnsiTheme="minorHAnsi" w:cstheme="minorHAnsi"/>
          <w:i/>
          <w:iCs/>
          <w:sz w:val="20"/>
          <w:szCs w:val="20"/>
        </w:rPr>
        <w:t>Higher Education</w:t>
      </w:r>
      <w:r w:rsidRPr="00E11C44">
        <w:rPr>
          <w:rFonts w:asciiTheme="minorHAnsi" w:hAnsiTheme="minorHAnsi" w:cstheme="minorHAnsi"/>
          <w:sz w:val="20"/>
          <w:szCs w:val="20"/>
        </w:rPr>
        <w:t xml:space="preserve">, 1–18. </w:t>
      </w:r>
    </w:p>
    <w:p w14:paraId="150E995E"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Arvanitis, R., &amp; Mouton, J. (2019). </w:t>
      </w:r>
      <w:r w:rsidRPr="00E11C44">
        <w:rPr>
          <w:rFonts w:asciiTheme="minorHAnsi" w:hAnsiTheme="minorHAnsi" w:cstheme="minorHAnsi"/>
          <w:i/>
          <w:iCs/>
          <w:sz w:val="20"/>
          <w:szCs w:val="20"/>
        </w:rPr>
        <w:t>Observing and funding African research</w:t>
      </w:r>
      <w:r w:rsidRPr="00E11C44">
        <w:rPr>
          <w:rFonts w:asciiTheme="minorHAnsi" w:hAnsiTheme="minorHAnsi" w:cstheme="minorHAnsi"/>
          <w:sz w:val="20"/>
          <w:szCs w:val="20"/>
        </w:rPr>
        <w:t xml:space="preserve"> (Working Paper No. 43). Ceped. </w:t>
      </w:r>
      <w:hyperlink r:id="rId17" w:history="1">
        <w:r w:rsidRPr="00E11C44">
          <w:rPr>
            <w:rStyle w:val="Hyperlink"/>
            <w:rFonts w:asciiTheme="minorHAnsi" w:hAnsiTheme="minorHAnsi" w:cstheme="minorHAnsi"/>
            <w:sz w:val="20"/>
            <w:szCs w:val="20"/>
          </w:rPr>
          <w:t>https://doi.org/10.5281/zenodo.3403895</w:t>
        </w:r>
      </w:hyperlink>
    </w:p>
    <w:p w14:paraId="6C1E5C13"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Askew, C., Dixon, R., McCormick, R., Callaghan, K., Wang, G., &amp; </w:t>
      </w:r>
      <w:proofErr w:type="spellStart"/>
      <w:r w:rsidRPr="00E11C44">
        <w:rPr>
          <w:rFonts w:asciiTheme="minorHAnsi" w:hAnsiTheme="minorHAnsi" w:cstheme="minorHAnsi"/>
          <w:sz w:val="20"/>
          <w:szCs w:val="20"/>
        </w:rPr>
        <w:t>Shulruf</w:t>
      </w:r>
      <w:proofErr w:type="spellEnd"/>
      <w:r w:rsidRPr="00E11C44">
        <w:rPr>
          <w:rFonts w:asciiTheme="minorHAnsi" w:hAnsiTheme="minorHAnsi" w:cstheme="minorHAnsi"/>
          <w:sz w:val="20"/>
          <w:szCs w:val="20"/>
        </w:rPr>
        <w:t xml:space="preserve">, B. (2016). Facilitators and barriers to doctoral supervision: A case study in health sciences. </w:t>
      </w:r>
      <w:r w:rsidRPr="00E11C44">
        <w:rPr>
          <w:rFonts w:asciiTheme="minorHAnsi" w:hAnsiTheme="minorHAnsi" w:cstheme="minorHAnsi"/>
          <w:i/>
          <w:iCs/>
          <w:sz w:val="20"/>
          <w:szCs w:val="20"/>
        </w:rPr>
        <w:t>Issues in Educational Research, 26</w:t>
      </w:r>
      <w:r w:rsidRPr="00E11C44">
        <w:rPr>
          <w:rFonts w:asciiTheme="minorHAnsi" w:hAnsiTheme="minorHAnsi" w:cstheme="minorHAnsi"/>
          <w:sz w:val="20"/>
          <w:szCs w:val="20"/>
        </w:rPr>
        <w:t>(1), 1–9.</w:t>
      </w:r>
    </w:p>
    <w:p w14:paraId="66094F58" w14:textId="77777777" w:rsidR="004770E8" w:rsidRDefault="005E1731" w:rsidP="004770E8">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Barasa, P. L., &amp; </w:t>
      </w:r>
      <w:proofErr w:type="spellStart"/>
      <w:r w:rsidRPr="00E11C44">
        <w:rPr>
          <w:rFonts w:asciiTheme="minorHAnsi" w:hAnsiTheme="minorHAnsi" w:cstheme="minorHAnsi"/>
          <w:sz w:val="20"/>
          <w:szCs w:val="20"/>
        </w:rPr>
        <w:t>Omulando</w:t>
      </w:r>
      <w:proofErr w:type="spellEnd"/>
      <w:r w:rsidRPr="00E11C44">
        <w:rPr>
          <w:rFonts w:asciiTheme="minorHAnsi" w:hAnsiTheme="minorHAnsi" w:cstheme="minorHAnsi"/>
          <w:sz w:val="20"/>
          <w:szCs w:val="20"/>
        </w:rPr>
        <w:t xml:space="preserve">, C. (2018). </w:t>
      </w:r>
      <w:r w:rsidRPr="00E11C44">
        <w:rPr>
          <w:rFonts w:asciiTheme="minorHAnsi" w:hAnsiTheme="minorHAnsi" w:cstheme="minorHAnsi"/>
          <w:i/>
          <w:iCs/>
          <w:sz w:val="20"/>
          <w:szCs w:val="20"/>
        </w:rPr>
        <w:t>Research and PhD capacities in Sub-Saharan Africa: Kenya report</w:t>
      </w:r>
      <w:r w:rsidRPr="00E11C44">
        <w:rPr>
          <w:rFonts w:asciiTheme="minorHAnsi" w:hAnsiTheme="minorHAnsi" w:cstheme="minorHAnsi"/>
          <w:sz w:val="20"/>
          <w:szCs w:val="20"/>
        </w:rPr>
        <w:t>. British Council.</w:t>
      </w:r>
      <w:r w:rsidR="004770E8">
        <w:rPr>
          <w:rFonts w:asciiTheme="minorHAnsi" w:hAnsiTheme="minorHAnsi" w:cstheme="minorHAnsi"/>
          <w:sz w:val="20"/>
          <w:szCs w:val="20"/>
        </w:rPr>
        <w:t xml:space="preserve">                 </w:t>
      </w:r>
    </w:p>
    <w:p w14:paraId="63BF3631" w14:textId="302BA735" w:rsidR="005E1731" w:rsidRPr="00E11C44" w:rsidRDefault="004770E8" w:rsidP="004770E8">
      <w:pPr>
        <w:pStyle w:val="NoSpacing"/>
        <w:spacing w:before="120" w:after="120" w:line="259" w:lineRule="auto"/>
        <w:ind w:left="227"/>
        <w:jc w:val="both"/>
        <w:rPr>
          <w:rFonts w:asciiTheme="minorHAnsi" w:hAnsiTheme="minorHAnsi" w:cstheme="minorHAnsi"/>
          <w:sz w:val="20"/>
          <w:szCs w:val="20"/>
        </w:rPr>
      </w:pPr>
      <w:hyperlink r:id="rId18" w:history="1">
        <w:r w:rsidRPr="00153529">
          <w:rPr>
            <w:rStyle w:val="Hyperlink"/>
            <w:rFonts w:asciiTheme="minorHAnsi" w:hAnsiTheme="minorHAnsi" w:cstheme="minorHAnsi"/>
            <w:sz w:val="20"/>
            <w:szCs w:val="20"/>
          </w:rPr>
          <w:t>https://www2.daad.de/medien/der-daad/analysen-studien/research_and_phd_capacities_in_sub-saharan_africa_-_kenya_report.pdf</w:t>
        </w:r>
      </w:hyperlink>
      <w:r>
        <w:rPr>
          <w:rFonts w:asciiTheme="minorHAnsi" w:hAnsiTheme="minorHAnsi" w:cstheme="minorHAnsi"/>
          <w:sz w:val="20"/>
          <w:szCs w:val="20"/>
        </w:rPr>
        <w:t xml:space="preserve"> </w:t>
      </w:r>
    </w:p>
    <w:p w14:paraId="398EE838"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Berdanier</w:t>
      </w:r>
      <w:proofErr w:type="spellEnd"/>
      <w:r w:rsidRPr="00E11C44">
        <w:rPr>
          <w:rFonts w:asciiTheme="minorHAnsi" w:hAnsiTheme="minorHAnsi" w:cstheme="minorHAnsi"/>
          <w:sz w:val="20"/>
          <w:szCs w:val="20"/>
        </w:rPr>
        <w:t xml:space="preserve">, C., Whitehair, C., Kirn, A., &amp; Satterfield, D. (2020). Analysis of social media forums to elicit narratives of graduate engineering student attrition. </w:t>
      </w:r>
      <w:r w:rsidRPr="00E11C44">
        <w:rPr>
          <w:rFonts w:asciiTheme="minorHAnsi" w:hAnsiTheme="minorHAnsi" w:cstheme="minorHAnsi"/>
          <w:i/>
          <w:iCs/>
          <w:sz w:val="20"/>
          <w:szCs w:val="20"/>
        </w:rPr>
        <w:t>Journal of Engineering Education, 109</w:t>
      </w:r>
      <w:r w:rsidRPr="00E11C44">
        <w:rPr>
          <w:rFonts w:asciiTheme="minorHAnsi" w:hAnsiTheme="minorHAnsi" w:cstheme="minorHAnsi"/>
          <w:sz w:val="20"/>
          <w:szCs w:val="20"/>
        </w:rPr>
        <w:t>(1), 125–147.</w:t>
      </w:r>
    </w:p>
    <w:p w14:paraId="3A6F6DD5"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Boehe</w:t>
      </w:r>
      <w:proofErr w:type="spellEnd"/>
      <w:r w:rsidRPr="00E11C44">
        <w:rPr>
          <w:rFonts w:asciiTheme="minorHAnsi" w:hAnsiTheme="minorHAnsi" w:cstheme="minorHAnsi"/>
          <w:sz w:val="20"/>
          <w:szCs w:val="20"/>
        </w:rPr>
        <w:t xml:space="preserve">, D. M. (2016). Supervisory styles: A contingency framework. </w:t>
      </w:r>
      <w:r w:rsidRPr="00E11C44">
        <w:rPr>
          <w:rFonts w:asciiTheme="minorHAnsi" w:hAnsiTheme="minorHAnsi" w:cstheme="minorHAnsi"/>
          <w:i/>
          <w:iCs/>
          <w:sz w:val="20"/>
          <w:szCs w:val="20"/>
        </w:rPr>
        <w:t>Studies in Higher Education, 41</w:t>
      </w:r>
      <w:r w:rsidRPr="00E11C44">
        <w:rPr>
          <w:rFonts w:asciiTheme="minorHAnsi" w:hAnsiTheme="minorHAnsi" w:cstheme="minorHAnsi"/>
          <w:sz w:val="20"/>
          <w:szCs w:val="20"/>
        </w:rPr>
        <w:t>(3), 399–414.</w:t>
      </w:r>
    </w:p>
    <w:p w14:paraId="5FD554C6" w14:textId="5155CE6B" w:rsidR="005E1731" w:rsidRPr="00E11C44" w:rsidRDefault="005E1731" w:rsidP="004770E8">
      <w:pPr>
        <w:pStyle w:val="NoSpacing"/>
        <w:spacing w:before="120" w:after="120" w:line="259" w:lineRule="auto"/>
        <w:ind w:left="227" w:hanging="227"/>
        <w:rPr>
          <w:rFonts w:asciiTheme="minorHAnsi" w:hAnsiTheme="minorHAnsi" w:cstheme="minorHAnsi"/>
          <w:sz w:val="20"/>
          <w:szCs w:val="20"/>
        </w:rPr>
      </w:pPr>
      <w:r w:rsidRPr="00E11C44">
        <w:rPr>
          <w:rFonts w:asciiTheme="minorHAnsi" w:hAnsiTheme="minorHAnsi" w:cstheme="minorHAnsi"/>
          <w:sz w:val="20"/>
          <w:szCs w:val="20"/>
        </w:rPr>
        <w:t xml:space="preserve">Bolton, P. (2024). </w:t>
      </w:r>
      <w:r w:rsidRPr="00E11C44">
        <w:rPr>
          <w:rFonts w:asciiTheme="minorHAnsi" w:hAnsiTheme="minorHAnsi" w:cstheme="minorHAnsi"/>
          <w:i/>
          <w:iCs/>
          <w:sz w:val="20"/>
          <w:szCs w:val="20"/>
        </w:rPr>
        <w:t>Higher education student numbers</w:t>
      </w:r>
      <w:r w:rsidRPr="00E11C44">
        <w:rPr>
          <w:rFonts w:asciiTheme="minorHAnsi" w:hAnsiTheme="minorHAnsi" w:cstheme="minorHAnsi"/>
          <w:sz w:val="20"/>
          <w:szCs w:val="20"/>
        </w:rPr>
        <w:t>. House of Commons Library.</w:t>
      </w:r>
      <w:r w:rsidR="004770E8">
        <w:rPr>
          <w:rFonts w:asciiTheme="minorHAnsi" w:hAnsiTheme="minorHAnsi" w:cstheme="minorHAnsi"/>
          <w:sz w:val="20"/>
          <w:szCs w:val="20"/>
        </w:rPr>
        <w:t xml:space="preserve"> </w:t>
      </w:r>
      <w:hyperlink r:id="rId19" w:history="1">
        <w:r w:rsidR="004770E8" w:rsidRPr="00153529">
          <w:rPr>
            <w:rStyle w:val="Hyperlink"/>
            <w:rFonts w:asciiTheme="minorHAnsi" w:hAnsiTheme="minorHAnsi" w:cstheme="minorHAnsi"/>
            <w:sz w:val="20"/>
            <w:szCs w:val="20"/>
          </w:rPr>
          <w:t>https://commonslibrary.parliament.uk/research-briefings/cbp-7857/</w:t>
        </w:r>
      </w:hyperlink>
      <w:r w:rsidR="004770E8">
        <w:rPr>
          <w:rFonts w:asciiTheme="minorHAnsi" w:hAnsiTheme="minorHAnsi" w:cstheme="minorHAnsi"/>
          <w:sz w:val="20"/>
          <w:szCs w:val="20"/>
        </w:rPr>
        <w:t xml:space="preserve"> </w:t>
      </w:r>
    </w:p>
    <w:p w14:paraId="16222C50"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Bolton, P., Lewis, J., &amp; Gower, M. (2023). </w:t>
      </w:r>
      <w:r w:rsidRPr="00E11C44">
        <w:rPr>
          <w:rFonts w:asciiTheme="minorHAnsi" w:hAnsiTheme="minorHAnsi" w:cstheme="minorHAnsi"/>
          <w:i/>
          <w:iCs/>
          <w:sz w:val="20"/>
          <w:szCs w:val="20"/>
        </w:rPr>
        <w:t>International students in UK higher education</w:t>
      </w:r>
      <w:r w:rsidRPr="00E11C44">
        <w:rPr>
          <w:rFonts w:asciiTheme="minorHAnsi" w:hAnsiTheme="minorHAnsi" w:cstheme="minorHAnsi"/>
          <w:sz w:val="20"/>
          <w:szCs w:val="20"/>
        </w:rPr>
        <w:t xml:space="preserve">. House of Commons Library. </w:t>
      </w:r>
      <w:hyperlink r:id="rId20" w:history="1">
        <w:r w:rsidRPr="00E11C44">
          <w:rPr>
            <w:rStyle w:val="Hyperlink"/>
            <w:rFonts w:asciiTheme="minorHAnsi" w:hAnsiTheme="minorHAnsi" w:cstheme="minorHAnsi"/>
            <w:sz w:val="20"/>
            <w:szCs w:val="20"/>
          </w:rPr>
          <w:t>https://commonslibrary.parliament.uk/researchbriefings/cbp-7976</w:t>
        </w:r>
      </w:hyperlink>
    </w:p>
    <w:p w14:paraId="380AC09F"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Buttery, E. A., Richter, E. M., &amp; Leal Filho, W. (2005). An overview of the elements that influence efficiency in postgraduate supervisory practice arrangements. </w:t>
      </w:r>
      <w:r w:rsidRPr="00E11C44">
        <w:rPr>
          <w:rFonts w:asciiTheme="minorHAnsi" w:hAnsiTheme="minorHAnsi" w:cstheme="minorHAnsi"/>
          <w:i/>
          <w:iCs/>
          <w:sz w:val="20"/>
          <w:szCs w:val="20"/>
        </w:rPr>
        <w:t>International Journal of Educational Management, 19</w:t>
      </w:r>
      <w:r w:rsidRPr="00E11C44">
        <w:rPr>
          <w:rFonts w:asciiTheme="minorHAnsi" w:hAnsiTheme="minorHAnsi" w:cstheme="minorHAnsi"/>
          <w:sz w:val="20"/>
          <w:szCs w:val="20"/>
        </w:rPr>
        <w:t>(1), 7–26.</w:t>
      </w:r>
    </w:p>
    <w:p w14:paraId="0F8C5926"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Commission for University Education. (2015). </w:t>
      </w:r>
      <w:r w:rsidRPr="00E11C44">
        <w:rPr>
          <w:rFonts w:asciiTheme="minorHAnsi" w:hAnsiTheme="minorHAnsi" w:cstheme="minorHAnsi"/>
          <w:i/>
          <w:iCs/>
          <w:sz w:val="20"/>
          <w:szCs w:val="20"/>
        </w:rPr>
        <w:t>Accredited universities in Kenya</w:t>
      </w:r>
      <w:r w:rsidRPr="00E11C44">
        <w:rPr>
          <w:rFonts w:asciiTheme="minorHAnsi" w:hAnsiTheme="minorHAnsi" w:cstheme="minorHAnsi"/>
          <w:sz w:val="20"/>
          <w:szCs w:val="20"/>
        </w:rPr>
        <w:t xml:space="preserve">. </w:t>
      </w:r>
      <w:hyperlink r:id="rId21" w:history="1">
        <w:r w:rsidRPr="00E11C44">
          <w:rPr>
            <w:rStyle w:val="Hyperlink"/>
            <w:rFonts w:asciiTheme="minorHAnsi" w:hAnsiTheme="minorHAnsi" w:cstheme="minorHAnsi"/>
            <w:sz w:val="20"/>
            <w:szCs w:val="20"/>
          </w:rPr>
          <w:t>http://www.cue.or.ke</w:t>
        </w:r>
      </w:hyperlink>
    </w:p>
    <w:p w14:paraId="1644C1ED" w14:textId="37C433C3"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Commission for University Education. (2024). </w:t>
      </w:r>
      <w:r w:rsidRPr="00E11C44">
        <w:rPr>
          <w:rFonts w:asciiTheme="minorHAnsi" w:hAnsiTheme="minorHAnsi" w:cstheme="minorHAnsi"/>
          <w:i/>
          <w:iCs/>
          <w:sz w:val="20"/>
          <w:szCs w:val="20"/>
        </w:rPr>
        <w:t>Universities authorised to operate in Kenya</w:t>
      </w:r>
      <w:r w:rsidRPr="00E11C44">
        <w:rPr>
          <w:rFonts w:asciiTheme="minorHAnsi" w:hAnsiTheme="minorHAnsi" w:cstheme="minorHAnsi"/>
          <w:sz w:val="20"/>
          <w:szCs w:val="20"/>
        </w:rPr>
        <w:t>.</w:t>
      </w:r>
      <w:r>
        <w:rPr>
          <w:rFonts w:asciiTheme="minorHAnsi" w:hAnsiTheme="minorHAnsi" w:cstheme="minorHAnsi"/>
          <w:sz w:val="20"/>
          <w:szCs w:val="20"/>
        </w:rPr>
        <w:t xml:space="preserve"> </w:t>
      </w:r>
      <w:hyperlink r:id="rId22" w:history="1">
        <w:r w:rsidRPr="00E11C44">
          <w:rPr>
            <w:rStyle w:val="Hyperlink"/>
            <w:rFonts w:asciiTheme="minorHAnsi" w:hAnsiTheme="minorHAnsi" w:cstheme="minorHAnsi"/>
            <w:sz w:val="20"/>
            <w:szCs w:val="20"/>
          </w:rPr>
          <w:t>http://www.cue.or.ke</w:t>
        </w:r>
      </w:hyperlink>
      <w:r w:rsidRPr="00E11C44">
        <w:rPr>
          <w:rFonts w:asciiTheme="minorHAnsi" w:hAnsiTheme="minorHAnsi" w:cstheme="minorHAnsi"/>
          <w:sz w:val="20"/>
          <w:szCs w:val="20"/>
        </w:rPr>
        <w:t xml:space="preserve"> </w:t>
      </w:r>
    </w:p>
    <w:p w14:paraId="66D060A3" w14:textId="2025725D" w:rsidR="005E1731" w:rsidRPr="00E11C44" w:rsidRDefault="005E1731" w:rsidP="006A2DD4">
      <w:pPr>
        <w:pStyle w:val="NoSpacing"/>
        <w:spacing w:before="120" w:after="120" w:line="259" w:lineRule="auto"/>
        <w:ind w:left="227" w:hanging="227"/>
        <w:rPr>
          <w:rFonts w:asciiTheme="minorHAnsi" w:hAnsiTheme="minorHAnsi" w:cstheme="minorHAnsi"/>
          <w:sz w:val="20"/>
          <w:szCs w:val="20"/>
        </w:rPr>
      </w:pPr>
      <w:r w:rsidRPr="00E11C44">
        <w:rPr>
          <w:rFonts w:asciiTheme="minorHAnsi" w:hAnsiTheme="minorHAnsi" w:cstheme="minorHAnsi"/>
          <w:sz w:val="20"/>
          <w:szCs w:val="20"/>
        </w:rPr>
        <w:t>Cowling, N. (2023). University enrolment in Kenya 2017–2023.</w:t>
      </w:r>
      <w:r w:rsidR="006A2DD4">
        <w:rPr>
          <w:rFonts w:asciiTheme="minorHAnsi" w:hAnsiTheme="minorHAnsi" w:cstheme="minorHAnsi"/>
          <w:sz w:val="20"/>
          <w:szCs w:val="20"/>
        </w:rPr>
        <w:t xml:space="preserve"> </w:t>
      </w:r>
      <w:r w:rsidRPr="00E11C44">
        <w:rPr>
          <w:rFonts w:asciiTheme="minorHAnsi" w:hAnsiTheme="minorHAnsi" w:cstheme="minorHAnsi"/>
          <w:i/>
          <w:iCs/>
          <w:sz w:val="20"/>
          <w:szCs w:val="20"/>
        </w:rPr>
        <w:t>Statista</w:t>
      </w:r>
      <w:r w:rsidRPr="00E11C44">
        <w:rPr>
          <w:rFonts w:asciiTheme="minorHAnsi" w:hAnsiTheme="minorHAnsi" w:cstheme="minorHAnsi"/>
          <w:sz w:val="20"/>
          <w:szCs w:val="20"/>
        </w:rPr>
        <w:t>.</w:t>
      </w:r>
      <w:r w:rsidR="006A2DD4">
        <w:rPr>
          <w:rFonts w:asciiTheme="minorHAnsi" w:hAnsiTheme="minorHAnsi" w:cstheme="minorHAnsi"/>
          <w:sz w:val="20"/>
          <w:szCs w:val="20"/>
        </w:rPr>
        <w:t xml:space="preserve"> </w:t>
      </w:r>
      <w:hyperlink r:id="rId23" w:history="1">
        <w:r w:rsidR="006A2DD4" w:rsidRPr="00153529">
          <w:rPr>
            <w:rStyle w:val="Hyperlink"/>
            <w:rFonts w:asciiTheme="minorHAnsi" w:hAnsiTheme="minorHAnsi" w:cstheme="minorHAnsi"/>
            <w:sz w:val="20"/>
            <w:szCs w:val="20"/>
          </w:rPr>
          <w:t>https://www.statista.com/statistics/1135785/university-enrollment-in-kenya/</w:t>
        </w:r>
      </w:hyperlink>
      <w:r w:rsidR="006A2DD4">
        <w:rPr>
          <w:rFonts w:asciiTheme="minorHAnsi" w:hAnsiTheme="minorHAnsi" w:cstheme="minorHAnsi"/>
          <w:sz w:val="20"/>
          <w:szCs w:val="20"/>
        </w:rPr>
        <w:t xml:space="preserve"> </w:t>
      </w:r>
    </w:p>
    <w:p w14:paraId="63182840"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Gardner, S. K. (2009). Student and faculty attributions of attrition in high- and low-completing doctoral programs in the United States. </w:t>
      </w:r>
      <w:r w:rsidRPr="00E11C44">
        <w:rPr>
          <w:rFonts w:asciiTheme="minorHAnsi" w:hAnsiTheme="minorHAnsi" w:cstheme="minorHAnsi"/>
          <w:i/>
          <w:iCs/>
          <w:sz w:val="20"/>
          <w:szCs w:val="20"/>
        </w:rPr>
        <w:t>Higher Education, 58</w:t>
      </w:r>
      <w:r w:rsidRPr="00E11C44">
        <w:rPr>
          <w:rFonts w:asciiTheme="minorHAnsi" w:hAnsiTheme="minorHAnsi" w:cstheme="minorHAnsi"/>
          <w:sz w:val="20"/>
          <w:szCs w:val="20"/>
        </w:rPr>
        <w:t xml:space="preserve">(1), 97–112. </w:t>
      </w:r>
      <w:hyperlink r:id="rId24" w:history="1">
        <w:r w:rsidRPr="00E11C44">
          <w:rPr>
            <w:rStyle w:val="Hyperlink"/>
            <w:rFonts w:asciiTheme="minorHAnsi" w:hAnsiTheme="minorHAnsi" w:cstheme="minorHAnsi"/>
            <w:sz w:val="20"/>
            <w:szCs w:val="20"/>
          </w:rPr>
          <w:t>https://doi.org/10.1007/s10734-008-9184-7</w:t>
        </w:r>
      </w:hyperlink>
    </w:p>
    <w:p w14:paraId="30CD13B1"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Guwatudde</w:t>
      </w:r>
      <w:proofErr w:type="spellEnd"/>
      <w:r w:rsidRPr="00E11C44">
        <w:rPr>
          <w:rFonts w:asciiTheme="minorHAnsi" w:hAnsiTheme="minorHAnsi" w:cstheme="minorHAnsi"/>
          <w:sz w:val="20"/>
          <w:szCs w:val="20"/>
        </w:rPr>
        <w:t xml:space="preserve">, D., Bwanga, F., Dudley, L., Chola, L., Leyna, G. H., </w:t>
      </w:r>
      <w:proofErr w:type="spellStart"/>
      <w:r w:rsidRPr="00E11C44">
        <w:rPr>
          <w:rFonts w:asciiTheme="minorHAnsi" w:hAnsiTheme="minorHAnsi" w:cstheme="minorHAnsi"/>
          <w:sz w:val="20"/>
          <w:szCs w:val="20"/>
        </w:rPr>
        <w:t>Mmbaga</w:t>
      </w:r>
      <w:proofErr w:type="spellEnd"/>
      <w:r w:rsidRPr="00E11C44">
        <w:rPr>
          <w:rFonts w:asciiTheme="minorHAnsi" w:hAnsiTheme="minorHAnsi" w:cstheme="minorHAnsi"/>
          <w:sz w:val="20"/>
          <w:szCs w:val="20"/>
        </w:rPr>
        <w:t xml:space="preserve">, E. J., Kumwenda, N., </w:t>
      </w:r>
      <w:proofErr w:type="spellStart"/>
      <w:r w:rsidRPr="00E11C44">
        <w:rPr>
          <w:rFonts w:asciiTheme="minorHAnsi" w:hAnsiTheme="minorHAnsi" w:cstheme="minorHAnsi"/>
          <w:sz w:val="20"/>
          <w:szCs w:val="20"/>
        </w:rPr>
        <w:t>Protsiv</w:t>
      </w:r>
      <w:proofErr w:type="spellEnd"/>
      <w:r w:rsidRPr="00E11C44">
        <w:rPr>
          <w:rFonts w:asciiTheme="minorHAnsi" w:hAnsiTheme="minorHAnsi" w:cstheme="minorHAnsi"/>
          <w:sz w:val="20"/>
          <w:szCs w:val="20"/>
        </w:rPr>
        <w:t xml:space="preserve">, M., Atkins, S., </w:t>
      </w:r>
      <w:proofErr w:type="spellStart"/>
      <w:r w:rsidRPr="00E11C44">
        <w:rPr>
          <w:rFonts w:asciiTheme="minorHAnsi" w:hAnsiTheme="minorHAnsi" w:cstheme="minorHAnsi"/>
          <w:sz w:val="20"/>
          <w:szCs w:val="20"/>
        </w:rPr>
        <w:t>Zwarenstein</w:t>
      </w:r>
      <w:proofErr w:type="spellEnd"/>
      <w:r w:rsidRPr="00E11C44">
        <w:rPr>
          <w:rFonts w:asciiTheme="minorHAnsi" w:hAnsiTheme="minorHAnsi" w:cstheme="minorHAnsi"/>
          <w:sz w:val="20"/>
          <w:szCs w:val="20"/>
        </w:rPr>
        <w:t xml:space="preserve">, M., </w:t>
      </w:r>
      <w:proofErr w:type="spellStart"/>
      <w:r w:rsidRPr="00E11C44">
        <w:rPr>
          <w:rFonts w:asciiTheme="minorHAnsi" w:hAnsiTheme="minorHAnsi" w:cstheme="minorHAnsi"/>
          <w:sz w:val="20"/>
          <w:szCs w:val="20"/>
        </w:rPr>
        <w:t>Obua</w:t>
      </w:r>
      <w:proofErr w:type="spellEnd"/>
      <w:r w:rsidRPr="00E11C44">
        <w:rPr>
          <w:rFonts w:asciiTheme="minorHAnsi" w:hAnsiTheme="minorHAnsi" w:cstheme="minorHAnsi"/>
          <w:sz w:val="20"/>
          <w:szCs w:val="20"/>
        </w:rPr>
        <w:t xml:space="preserve">, C., &amp; Tumwine, J. K. (2013). Training for health services and systems research in Sub-Saharan Africa: A case study at four East and Southern African universities. </w:t>
      </w:r>
      <w:r w:rsidRPr="00E11C44">
        <w:rPr>
          <w:rFonts w:asciiTheme="minorHAnsi" w:hAnsiTheme="minorHAnsi" w:cstheme="minorHAnsi"/>
          <w:i/>
          <w:iCs/>
          <w:sz w:val="20"/>
          <w:szCs w:val="20"/>
        </w:rPr>
        <w:t>Human Resources for Health, 11</w:t>
      </w:r>
      <w:r w:rsidRPr="00E11C44">
        <w:rPr>
          <w:rFonts w:asciiTheme="minorHAnsi" w:hAnsiTheme="minorHAnsi" w:cstheme="minorHAnsi"/>
          <w:sz w:val="20"/>
          <w:szCs w:val="20"/>
        </w:rPr>
        <w:t>, 68.</w:t>
      </w:r>
    </w:p>
    <w:p w14:paraId="46792B1E"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Hasgall</w:t>
      </w:r>
      <w:proofErr w:type="spellEnd"/>
      <w:r w:rsidRPr="00E11C44">
        <w:rPr>
          <w:rFonts w:asciiTheme="minorHAnsi" w:hAnsiTheme="minorHAnsi" w:cstheme="minorHAnsi"/>
          <w:sz w:val="20"/>
          <w:szCs w:val="20"/>
        </w:rPr>
        <w:t xml:space="preserve">, B. A., </w:t>
      </w:r>
      <w:proofErr w:type="spellStart"/>
      <w:r w:rsidRPr="00E11C44">
        <w:rPr>
          <w:rFonts w:asciiTheme="minorHAnsi" w:hAnsiTheme="minorHAnsi" w:cstheme="minorHAnsi"/>
          <w:sz w:val="20"/>
          <w:szCs w:val="20"/>
        </w:rPr>
        <w:t>Saenen</w:t>
      </w:r>
      <w:proofErr w:type="spellEnd"/>
      <w:r w:rsidRPr="00E11C44">
        <w:rPr>
          <w:rFonts w:asciiTheme="minorHAnsi" w:hAnsiTheme="minorHAnsi" w:cstheme="minorHAnsi"/>
          <w:sz w:val="20"/>
          <w:szCs w:val="20"/>
        </w:rPr>
        <w:t xml:space="preserve">, B., Van Deynze, F., &amp; Seeber, M. (2019). </w:t>
      </w:r>
      <w:r w:rsidRPr="00E11C44">
        <w:rPr>
          <w:rFonts w:asciiTheme="minorHAnsi" w:hAnsiTheme="minorHAnsi" w:cstheme="minorHAnsi"/>
          <w:i/>
          <w:iCs/>
          <w:sz w:val="20"/>
          <w:szCs w:val="20"/>
        </w:rPr>
        <w:t>Doctoral education in Europe today: Approaches and institutional structures</w:t>
      </w:r>
      <w:r w:rsidRPr="00E11C44">
        <w:rPr>
          <w:rFonts w:asciiTheme="minorHAnsi" w:hAnsiTheme="minorHAnsi" w:cstheme="minorHAnsi"/>
          <w:sz w:val="20"/>
          <w:szCs w:val="20"/>
        </w:rPr>
        <w:t>. European University Association.</w:t>
      </w:r>
    </w:p>
    <w:p w14:paraId="3177F21E" w14:textId="568BFC72"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Hubble, S., &amp; Bolton, P. (2020). </w:t>
      </w:r>
      <w:r w:rsidRPr="00E11C44">
        <w:rPr>
          <w:rFonts w:asciiTheme="minorHAnsi" w:hAnsiTheme="minorHAnsi" w:cstheme="minorHAnsi"/>
          <w:i/>
          <w:iCs/>
          <w:sz w:val="20"/>
          <w:szCs w:val="20"/>
        </w:rPr>
        <w:t>A level results in England and the impact on university admissions in 2020–21</w:t>
      </w:r>
      <w:r w:rsidRPr="00E11C44">
        <w:rPr>
          <w:rFonts w:asciiTheme="minorHAnsi" w:hAnsiTheme="minorHAnsi" w:cstheme="minorHAnsi"/>
          <w:sz w:val="20"/>
          <w:szCs w:val="20"/>
        </w:rPr>
        <w:t>. House of Commons Library.</w:t>
      </w:r>
      <w:r w:rsidR="006A2DD4">
        <w:rPr>
          <w:rFonts w:asciiTheme="minorHAnsi" w:hAnsiTheme="minorHAnsi" w:cstheme="minorHAnsi"/>
          <w:sz w:val="20"/>
          <w:szCs w:val="20"/>
        </w:rPr>
        <w:t xml:space="preserve"> </w:t>
      </w:r>
      <w:hyperlink r:id="rId25" w:history="1">
        <w:r w:rsidR="006A2DD4" w:rsidRPr="006A2DD4">
          <w:rPr>
            <w:rStyle w:val="Hyperlink"/>
            <w:rFonts w:asciiTheme="minorHAnsi" w:hAnsiTheme="minorHAnsi" w:cstheme="minorHAnsi"/>
            <w:sz w:val="20"/>
            <w:szCs w:val="20"/>
          </w:rPr>
          <w:t>A level results in England and the impact on university admissions in 2020-21 - House of Commons Library</w:t>
        </w:r>
      </w:hyperlink>
    </w:p>
    <w:p w14:paraId="61904908"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HM Government. (2022). </w:t>
      </w:r>
      <w:r w:rsidRPr="00E11C44">
        <w:rPr>
          <w:rFonts w:asciiTheme="minorHAnsi" w:hAnsiTheme="minorHAnsi" w:cstheme="minorHAnsi"/>
          <w:i/>
          <w:iCs/>
          <w:sz w:val="20"/>
          <w:szCs w:val="20"/>
        </w:rPr>
        <w:t>Levelling up the United Kingdom</w:t>
      </w:r>
      <w:r w:rsidRPr="00E11C44">
        <w:rPr>
          <w:rFonts w:asciiTheme="minorHAnsi" w:hAnsiTheme="minorHAnsi" w:cstheme="minorHAnsi"/>
          <w:sz w:val="20"/>
          <w:szCs w:val="20"/>
        </w:rPr>
        <w:t xml:space="preserve">. </w:t>
      </w:r>
      <w:hyperlink r:id="rId26" w:history="1">
        <w:r w:rsidRPr="00E11C44">
          <w:rPr>
            <w:rStyle w:val="Hyperlink"/>
            <w:rFonts w:asciiTheme="minorHAnsi" w:hAnsiTheme="minorHAnsi" w:cstheme="minorHAnsi"/>
            <w:sz w:val="20"/>
            <w:szCs w:val="20"/>
          </w:rPr>
          <w:t>https://assets.publishing.service.gov.uk/government/uploads/system/uploads/attachment_data/file/1052706/Levelling_Up_WP_HRES.pdf</w:t>
        </w:r>
      </w:hyperlink>
    </w:p>
    <w:p w14:paraId="774E9377"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Japheth, N., Kurgat, S., &amp; </w:t>
      </w:r>
      <w:proofErr w:type="spellStart"/>
      <w:r w:rsidRPr="00E11C44">
        <w:rPr>
          <w:rFonts w:asciiTheme="minorHAnsi" w:hAnsiTheme="minorHAnsi" w:cstheme="minorHAnsi"/>
          <w:sz w:val="20"/>
          <w:szCs w:val="20"/>
        </w:rPr>
        <w:t>Chang’ach</w:t>
      </w:r>
      <w:proofErr w:type="spellEnd"/>
      <w:r w:rsidRPr="00E11C44">
        <w:rPr>
          <w:rFonts w:asciiTheme="minorHAnsi" w:hAnsiTheme="minorHAnsi" w:cstheme="minorHAnsi"/>
          <w:sz w:val="20"/>
          <w:szCs w:val="20"/>
        </w:rPr>
        <w:t xml:space="preserve">, J. K. (2022). Turning doctoral research supervision into a partnership: Towards promoting quality research in African context. </w:t>
      </w:r>
      <w:r w:rsidRPr="00E11C44">
        <w:rPr>
          <w:rFonts w:asciiTheme="minorHAnsi" w:hAnsiTheme="minorHAnsi" w:cstheme="minorHAnsi"/>
          <w:i/>
          <w:iCs/>
          <w:sz w:val="20"/>
          <w:szCs w:val="20"/>
        </w:rPr>
        <w:t>Canadian Journal of Educational and Social Studies, 2</w:t>
      </w:r>
      <w:r w:rsidRPr="00E11C44">
        <w:rPr>
          <w:rFonts w:asciiTheme="minorHAnsi" w:hAnsiTheme="minorHAnsi" w:cstheme="minorHAnsi"/>
          <w:sz w:val="20"/>
          <w:szCs w:val="20"/>
        </w:rPr>
        <w:t>(2), 84–93.</w:t>
      </w:r>
    </w:p>
    <w:p w14:paraId="1C7C3B16" w14:textId="44B46A58" w:rsidR="005E1731" w:rsidRPr="00E11C44" w:rsidRDefault="006A2DD4" w:rsidP="005E1731">
      <w:pPr>
        <w:pStyle w:val="NoSpacing"/>
        <w:spacing w:before="120" w:after="120" w:line="259" w:lineRule="auto"/>
        <w:ind w:left="227" w:hanging="227"/>
        <w:jc w:val="both"/>
        <w:rPr>
          <w:rFonts w:asciiTheme="minorHAnsi" w:hAnsiTheme="minorHAnsi" w:cstheme="minorHAnsi"/>
          <w:sz w:val="20"/>
          <w:szCs w:val="20"/>
        </w:rPr>
      </w:pPr>
      <w:r>
        <w:rPr>
          <w:rFonts w:asciiTheme="minorHAnsi" w:hAnsiTheme="minorHAnsi" w:cstheme="minorHAnsi"/>
          <w:sz w:val="20"/>
          <w:szCs w:val="20"/>
        </w:rPr>
        <w:t>KNBS [</w:t>
      </w:r>
      <w:r w:rsidR="005E1731" w:rsidRPr="00E11C44">
        <w:rPr>
          <w:rFonts w:asciiTheme="minorHAnsi" w:hAnsiTheme="minorHAnsi" w:cstheme="minorHAnsi"/>
          <w:sz w:val="20"/>
          <w:szCs w:val="20"/>
        </w:rPr>
        <w:t>Kenya National Bureau of Statistics</w:t>
      </w:r>
      <w:r>
        <w:rPr>
          <w:rFonts w:asciiTheme="minorHAnsi" w:hAnsiTheme="minorHAnsi" w:cstheme="minorHAnsi"/>
          <w:sz w:val="20"/>
          <w:szCs w:val="20"/>
        </w:rPr>
        <w:t>]</w:t>
      </w:r>
      <w:r w:rsidR="005E1731" w:rsidRPr="00E11C44">
        <w:rPr>
          <w:rFonts w:asciiTheme="minorHAnsi" w:hAnsiTheme="minorHAnsi" w:cstheme="minorHAnsi"/>
          <w:sz w:val="20"/>
          <w:szCs w:val="20"/>
        </w:rPr>
        <w:t xml:space="preserve">. (2020). </w:t>
      </w:r>
      <w:r w:rsidR="005E1731" w:rsidRPr="00E11C44">
        <w:rPr>
          <w:rFonts w:asciiTheme="minorHAnsi" w:hAnsiTheme="minorHAnsi" w:cstheme="minorHAnsi"/>
          <w:i/>
          <w:iCs/>
          <w:sz w:val="20"/>
          <w:szCs w:val="20"/>
        </w:rPr>
        <w:t>Inequality trends and diagnostics in Kenya</w:t>
      </w:r>
      <w:r>
        <w:rPr>
          <w:rFonts w:asciiTheme="minorHAnsi" w:hAnsiTheme="minorHAnsi" w:cstheme="minorHAnsi"/>
          <w:i/>
          <w:iCs/>
          <w:sz w:val="20"/>
          <w:szCs w:val="20"/>
        </w:rPr>
        <w:t xml:space="preserve"> 2020</w:t>
      </w:r>
      <w:r w:rsidR="005E1731" w:rsidRPr="00E11C44">
        <w:rPr>
          <w:rFonts w:asciiTheme="minorHAnsi" w:hAnsiTheme="minorHAnsi" w:cstheme="minorHAnsi"/>
          <w:sz w:val="20"/>
          <w:szCs w:val="20"/>
        </w:rPr>
        <w:t>.</w:t>
      </w:r>
      <w:r>
        <w:rPr>
          <w:rFonts w:asciiTheme="minorHAnsi" w:hAnsiTheme="minorHAnsi" w:cstheme="minorHAnsi"/>
          <w:sz w:val="20"/>
          <w:szCs w:val="20"/>
        </w:rPr>
        <w:t xml:space="preserve"> </w:t>
      </w:r>
      <w:hyperlink r:id="rId27" w:history="1">
        <w:r w:rsidRPr="006A2DD4">
          <w:rPr>
            <w:rStyle w:val="Hyperlink"/>
            <w:rFonts w:asciiTheme="minorHAnsi" w:hAnsiTheme="minorHAnsi" w:cstheme="minorHAnsi"/>
            <w:sz w:val="20"/>
            <w:szCs w:val="20"/>
          </w:rPr>
          <w:t>knbs.or.ke/wp-content/uploads/2021/07/Inequality-Trends-and-Diagnostics-in-Kenya-Report.pdf</w:t>
        </w:r>
      </w:hyperlink>
    </w:p>
    <w:p w14:paraId="64F38266"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Kis, A., Tur, E. M., </w:t>
      </w:r>
      <w:proofErr w:type="spellStart"/>
      <w:r w:rsidRPr="00E11C44">
        <w:rPr>
          <w:rFonts w:asciiTheme="minorHAnsi" w:hAnsiTheme="minorHAnsi" w:cstheme="minorHAnsi"/>
          <w:sz w:val="20"/>
          <w:szCs w:val="20"/>
        </w:rPr>
        <w:t>Lakens</w:t>
      </w:r>
      <w:proofErr w:type="spellEnd"/>
      <w:r w:rsidRPr="00E11C44">
        <w:rPr>
          <w:rFonts w:asciiTheme="minorHAnsi" w:hAnsiTheme="minorHAnsi" w:cstheme="minorHAnsi"/>
          <w:sz w:val="20"/>
          <w:szCs w:val="20"/>
        </w:rPr>
        <w:t xml:space="preserve">, D., </w:t>
      </w:r>
      <w:proofErr w:type="spellStart"/>
      <w:r w:rsidRPr="00E11C44">
        <w:rPr>
          <w:rFonts w:asciiTheme="minorHAnsi" w:hAnsiTheme="minorHAnsi" w:cstheme="minorHAnsi"/>
          <w:sz w:val="20"/>
          <w:szCs w:val="20"/>
        </w:rPr>
        <w:t>Vaesen</w:t>
      </w:r>
      <w:proofErr w:type="spellEnd"/>
      <w:r w:rsidRPr="00E11C44">
        <w:rPr>
          <w:rFonts w:asciiTheme="minorHAnsi" w:hAnsiTheme="minorHAnsi" w:cstheme="minorHAnsi"/>
          <w:sz w:val="20"/>
          <w:szCs w:val="20"/>
        </w:rPr>
        <w:t xml:space="preserve">, K., &amp; </w:t>
      </w:r>
      <w:proofErr w:type="spellStart"/>
      <w:r w:rsidRPr="00E11C44">
        <w:rPr>
          <w:rFonts w:asciiTheme="minorHAnsi" w:hAnsiTheme="minorHAnsi" w:cstheme="minorHAnsi"/>
          <w:sz w:val="20"/>
          <w:szCs w:val="20"/>
        </w:rPr>
        <w:t>Houkes</w:t>
      </w:r>
      <w:proofErr w:type="spellEnd"/>
      <w:r w:rsidRPr="00E11C44">
        <w:rPr>
          <w:rFonts w:asciiTheme="minorHAnsi" w:hAnsiTheme="minorHAnsi" w:cstheme="minorHAnsi"/>
          <w:sz w:val="20"/>
          <w:szCs w:val="20"/>
        </w:rPr>
        <w:t xml:space="preserve">, W. (2022). Leaving academia: PhD attrition and unhealthy research environments. </w:t>
      </w:r>
      <w:r w:rsidRPr="00E11C44">
        <w:rPr>
          <w:rFonts w:asciiTheme="minorHAnsi" w:hAnsiTheme="minorHAnsi" w:cstheme="minorHAnsi"/>
          <w:i/>
          <w:iCs/>
          <w:sz w:val="20"/>
          <w:szCs w:val="20"/>
        </w:rPr>
        <w:t>PLOS ONE, 17</w:t>
      </w:r>
      <w:r w:rsidRPr="00E11C44">
        <w:rPr>
          <w:rFonts w:asciiTheme="minorHAnsi" w:hAnsiTheme="minorHAnsi" w:cstheme="minorHAnsi"/>
          <w:sz w:val="20"/>
          <w:szCs w:val="20"/>
        </w:rPr>
        <w:t>(10), e0274976.</w:t>
      </w:r>
    </w:p>
    <w:p w14:paraId="6CDE60DD"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Laufer, M., &amp; Gorup, M. (2019). The invisible others: Stories of international doctoral student dropout. </w:t>
      </w:r>
      <w:r w:rsidRPr="00E11C44">
        <w:rPr>
          <w:rFonts w:asciiTheme="minorHAnsi" w:hAnsiTheme="minorHAnsi" w:cstheme="minorHAnsi"/>
          <w:i/>
          <w:iCs/>
          <w:sz w:val="20"/>
          <w:szCs w:val="20"/>
        </w:rPr>
        <w:t>Higher Education, 78</w:t>
      </w:r>
      <w:r w:rsidRPr="00E11C44">
        <w:rPr>
          <w:rFonts w:asciiTheme="minorHAnsi" w:hAnsiTheme="minorHAnsi" w:cstheme="minorHAnsi"/>
          <w:sz w:val="20"/>
          <w:szCs w:val="20"/>
        </w:rPr>
        <w:t>, 165–181.</w:t>
      </w:r>
    </w:p>
    <w:p w14:paraId="2A36E803"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lastRenderedPageBreak/>
        <w:t>Leijen</w:t>
      </w:r>
      <w:proofErr w:type="spellEnd"/>
      <w:r w:rsidRPr="00E11C44">
        <w:rPr>
          <w:rFonts w:asciiTheme="minorHAnsi" w:hAnsiTheme="minorHAnsi" w:cstheme="minorHAnsi"/>
          <w:sz w:val="20"/>
          <w:szCs w:val="20"/>
        </w:rPr>
        <w:t xml:space="preserve">, Ä., Lepp, L., &amp; </w:t>
      </w:r>
      <w:proofErr w:type="spellStart"/>
      <w:r w:rsidRPr="00E11C44">
        <w:rPr>
          <w:rFonts w:asciiTheme="minorHAnsi" w:hAnsiTheme="minorHAnsi" w:cstheme="minorHAnsi"/>
          <w:sz w:val="20"/>
          <w:szCs w:val="20"/>
        </w:rPr>
        <w:t>Remmik</w:t>
      </w:r>
      <w:proofErr w:type="spellEnd"/>
      <w:r w:rsidRPr="00E11C44">
        <w:rPr>
          <w:rFonts w:asciiTheme="minorHAnsi" w:hAnsiTheme="minorHAnsi" w:cstheme="minorHAnsi"/>
          <w:sz w:val="20"/>
          <w:szCs w:val="20"/>
        </w:rPr>
        <w:t xml:space="preserve">, M. (2016). Why did I drop out? Former students’ recollections about their study process and factors related to leaving doctoral studies. </w:t>
      </w:r>
      <w:r w:rsidRPr="00E11C44">
        <w:rPr>
          <w:rFonts w:asciiTheme="minorHAnsi" w:hAnsiTheme="minorHAnsi" w:cstheme="minorHAnsi"/>
          <w:i/>
          <w:iCs/>
          <w:sz w:val="20"/>
          <w:szCs w:val="20"/>
        </w:rPr>
        <w:t>Studies in Continuing Education, 38</w:t>
      </w:r>
      <w:r w:rsidRPr="00E11C44">
        <w:rPr>
          <w:rFonts w:asciiTheme="minorHAnsi" w:hAnsiTheme="minorHAnsi" w:cstheme="minorHAnsi"/>
          <w:sz w:val="20"/>
          <w:szCs w:val="20"/>
        </w:rPr>
        <w:t>(2), 129–144.</w:t>
      </w:r>
    </w:p>
    <w:p w14:paraId="176F79F5"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Lindén, J., Ohlin, M., &amp; Brodin, E. M. (2013). Mentorship, supervision and learning experience in PhD education. </w:t>
      </w:r>
      <w:r w:rsidRPr="00E11C44">
        <w:rPr>
          <w:rFonts w:asciiTheme="minorHAnsi" w:hAnsiTheme="minorHAnsi" w:cstheme="minorHAnsi"/>
          <w:i/>
          <w:iCs/>
          <w:sz w:val="20"/>
          <w:szCs w:val="20"/>
        </w:rPr>
        <w:t>Studies in Higher Education, 38</w:t>
      </w:r>
      <w:r w:rsidRPr="00E11C44">
        <w:rPr>
          <w:rFonts w:asciiTheme="minorHAnsi" w:hAnsiTheme="minorHAnsi" w:cstheme="minorHAnsi"/>
          <w:sz w:val="20"/>
          <w:szCs w:val="20"/>
        </w:rPr>
        <w:t>(5), 639–662.</w:t>
      </w:r>
    </w:p>
    <w:p w14:paraId="2AA66EB1"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Manderson, L., </w:t>
      </w:r>
      <w:proofErr w:type="spellStart"/>
      <w:r w:rsidRPr="00E11C44">
        <w:rPr>
          <w:rFonts w:asciiTheme="minorHAnsi" w:hAnsiTheme="minorHAnsi" w:cstheme="minorHAnsi"/>
          <w:sz w:val="20"/>
          <w:szCs w:val="20"/>
        </w:rPr>
        <w:t>Bondjers</w:t>
      </w:r>
      <w:proofErr w:type="spellEnd"/>
      <w:r w:rsidRPr="00E11C44">
        <w:rPr>
          <w:rFonts w:asciiTheme="minorHAnsi" w:hAnsiTheme="minorHAnsi" w:cstheme="minorHAnsi"/>
          <w:sz w:val="20"/>
          <w:szCs w:val="20"/>
        </w:rPr>
        <w:t xml:space="preserve">, G., Izugbara, C., Cole, D. C., Egesah, O., Ezeh, A., &amp; Fonn, S. (2017). Enhancing doctoral supervision practices in Africa: Reflection on the CARTA approach. </w:t>
      </w:r>
      <w:r w:rsidRPr="00E11C44">
        <w:rPr>
          <w:rFonts w:asciiTheme="minorHAnsi" w:hAnsiTheme="minorHAnsi" w:cstheme="minorHAnsi"/>
          <w:i/>
          <w:iCs/>
          <w:sz w:val="20"/>
          <w:szCs w:val="20"/>
        </w:rPr>
        <w:t>Journal of Higher Education in Africa, 15</w:t>
      </w:r>
      <w:r w:rsidRPr="00E11C44">
        <w:rPr>
          <w:rFonts w:asciiTheme="minorHAnsi" w:hAnsiTheme="minorHAnsi" w:cstheme="minorHAnsi"/>
          <w:sz w:val="20"/>
          <w:szCs w:val="20"/>
        </w:rPr>
        <w:t>(2), 23–40.</w:t>
      </w:r>
    </w:p>
    <w:p w14:paraId="4DF1491A"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Malunda, P. N., </w:t>
      </w:r>
      <w:proofErr w:type="spellStart"/>
      <w:r w:rsidRPr="00E11C44">
        <w:rPr>
          <w:rFonts w:asciiTheme="minorHAnsi" w:hAnsiTheme="minorHAnsi" w:cstheme="minorHAnsi"/>
          <w:sz w:val="20"/>
          <w:szCs w:val="20"/>
        </w:rPr>
        <w:t>Atwebembeire</w:t>
      </w:r>
      <w:proofErr w:type="spellEnd"/>
      <w:r w:rsidRPr="00E11C44">
        <w:rPr>
          <w:rFonts w:asciiTheme="minorHAnsi" w:hAnsiTheme="minorHAnsi" w:cstheme="minorHAnsi"/>
          <w:sz w:val="20"/>
          <w:szCs w:val="20"/>
        </w:rPr>
        <w:t xml:space="preserve">, J., &amp; Ssentamu, P. N. (2021). Research supervision as an antecedent to graduate student progression in public higher institutions in Uganda. </w:t>
      </w:r>
      <w:r w:rsidRPr="00E11C44">
        <w:rPr>
          <w:rFonts w:asciiTheme="minorHAnsi" w:hAnsiTheme="minorHAnsi" w:cstheme="minorHAnsi"/>
          <w:i/>
          <w:iCs/>
          <w:sz w:val="20"/>
          <w:szCs w:val="20"/>
        </w:rPr>
        <w:t>International Journal of Learning, Teaching and Educational Research, 20</w:t>
      </w:r>
      <w:r w:rsidRPr="00E11C44">
        <w:rPr>
          <w:rFonts w:asciiTheme="minorHAnsi" w:hAnsiTheme="minorHAnsi" w:cstheme="minorHAnsi"/>
          <w:sz w:val="20"/>
          <w:szCs w:val="20"/>
        </w:rPr>
        <w:t>(5), 73–95.</w:t>
      </w:r>
    </w:p>
    <w:p w14:paraId="3C8E4B41"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Mattijssen</w:t>
      </w:r>
      <w:proofErr w:type="spellEnd"/>
      <w:r w:rsidRPr="00E11C44">
        <w:rPr>
          <w:rFonts w:asciiTheme="minorHAnsi" w:hAnsiTheme="minorHAnsi" w:cstheme="minorHAnsi"/>
          <w:sz w:val="20"/>
          <w:szCs w:val="20"/>
        </w:rPr>
        <w:t xml:space="preserve">, L., van Doorn, T., </w:t>
      </w:r>
      <w:proofErr w:type="spellStart"/>
      <w:r w:rsidRPr="00E11C44">
        <w:rPr>
          <w:rFonts w:asciiTheme="minorHAnsi" w:hAnsiTheme="minorHAnsi" w:cstheme="minorHAnsi"/>
          <w:sz w:val="20"/>
          <w:szCs w:val="20"/>
        </w:rPr>
        <w:t>Kanbier</w:t>
      </w:r>
      <w:proofErr w:type="spellEnd"/>
      <w:r w:rsidRPr="00E11C44">
        <w:rPr>
          <w:rFonts w:asciiTheme="minorHAnsi" w:hAnsiTheme="minorHAnsi" w:cstheme="minorHAnsi"/>
          <w:sz w:val="20"/>
          <w:szCs w:val="20"/>
        </w:rPr>
        <w:t xml:space="preserve">, N., &amp; van Vliet, N. (2020). </w:t>
      </w:r>
      <w:r w:rsidRPr="00E11C44">
        <w:rPr>
          <w:rFonts w:asciiTheme="minorHAnsi" w:hAnsiTheme="minorHAnsi" w:cstheme="minorHAnsi"/>
          <w:i/>
          <w:iCs/>
          <w:sz w:val="20"/>
          <w:szCs w:val="20"/>
        </w:rPr>
        <w:t>PNN PhD survey: Asking the relevant questions</w:t>
      </w:r>
      <w:r w:rsidRPr="00E11C44">
        <w:rPr>
          <w:rFonts w:asciiTheme="minorHAnsi" w:hAnsiTheme="minorHAnsi" w:cstheme="minorHAnsi"/>
          <w:sz w:val="20"/>
          <w:szCs w:val="20"/>
        </w:rPr>
        <w:t xml:space="preserve">. </w:t>
      </w:r>
      <w:hyperlink r:id="rId28" w:history="1">
        <w:r w:rsidRPr="00E11C44">
          <w:rPr>
            <w:rStyle w:val="Hyperlink"/>
            <w:rFonts w:asciiTheme="minorHAnsi" w:hAnsiTheme="minorHAnsi" w:cstheme="minorHAnsi"/>
            <w:sz w:val="20"/>
            <w:szCs w:val="20"/>
          </w:rPr>
          <w:t>https://hetpnn.nl</w:t>
        </w:r>
      </w:hyperlink>
    </w:p>
    <w:p w14:paraId="39E9CA2A"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Mogaji</w:t>
      </w:r>
      <w:proofErr w:type="spellEnd"/>
      <w:r w:rsidRPr="00E11C44">
        <w:rPr>
          <w:rFonts w:asciiTheme="minorHAnsi" w:hAnsiTheme="minorHAnsi" w:cstheme="minorHAnsi"/>
          <w:sz w:val="20"/>
          <w:szCs w:val="20"/>
        </w:rPr>
        <w:t xml:space="preserve">, E., Adamu, N., &amp; Nguyen, N. P. (2021). Stakeholders shaping experiences of self-funded international PhD students in UK business schools. </w:t>
      </w:r>
      <w:r w:rsidRPr="00E11C44">
        <w:rPr>
          <w:rFonts w:asciiTheme="minorHAnsi" w:hAnsiTheme="minorHAnsi" w:cstheme="minorHAnsi"/>
          <w:i/>
          <w:iCs/>
          <w:sz w:val="20"/>
          <w:szCs w:val="20"/>
        </w:rPr>
        <w:t>The International Journal of Management Education, 19</w:t>
      </w:r>
      <w:r w:rsidRPr="00E11C44">
        <w:rPr>
          <w:rFonts w:asciiTheme="minorHAnsi" w:hAnsiTheme="minorHAnsi" w:cstheme="minorHAnsi"/>
          <w:sz w:val="20"/>
          <w:szCs w:val="20"/>
        </w:rPr>
        <w:t>(3), 100543.</w:t>
      </w:r>
    </w:p>
    <w:p w14:paraId="58FD8705"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Mouton, J. (2018). African science: A diagnosis. In C. Beaudry, J. Mouton, &amp; H. Prozesky (Eds.), </w:t>
      </w:r>
      <w:r w:rsidRPr="00E11C44">
        <w:rPr>
          <w:rFonts w:asciiTheme="minorHAnsi" w:hAnsiTheme="minorHAnsi" w:cstheme="minorHAnsi"/>
          <w:i/>
          <w:iCs/>
          <w:sz w:val="20"/>
          <w:szCs w:val="20"/>
        </w:rPr>
        <w:t>The next generation of scientists in Africa</w:t>
      </w:r>
      <w:r w:rsidRPr="00E11C44">
        <w:rPr>
          <w:rFonts w:asciiTheme="minorHAnsi" w:hAnsiTheme="minorHAnsi" w:cstheme="minorHAnsi"/>
          <w:sz w:val="20"/>
          <w:szCs w:val="20"/>
        </w:rPr>
        <w:t xml:space="preserve"> (pp. 3–8). Africa Minds.</w:t>
      </w:r>
    </w:p>
    <w:p w14:paraId="1131BBE3"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Muricho</w:t>
      </w:r>
      <w:proofErr w:type="spellEnd"/>
      <w:r w:rsidRPr="00E11C44">
        <w:rPr>
          <w:rFonts w:asciiTheme="minorHAnsi" w:hAnsiTheme="minorHAnsi" w:cstheme="minorHAnsi"/>
          <w:sz w:val="20"/>
          <w:szCs w:val="20"/>
        </w:rPr>
        <w:t xml:space="preserve">, P. W. (2023). Analysis of education reforms and challenges in Kenya: A historical perspective. </w:t>
      </w:r>
      <w:r w:rsidRPr="00E11C44">
        <w:rPr>
          <w:rFonts w:asciiTheme="minorHAnsi" w:hAnsiTheme="minorHAnsi" w:cstheme="minorHAnsi"/>
          <w:i/>
          <w:iCs/>
          <w:sz w:val="20"/>
          <w:szCs w:val="20"/>
        </w:rPr>
        <w:t>International Journal of Current Innovations in Advanced Research, 6</w:t>
      </w:r>
      <w:r w:rsidRPr="00E11C44">
        <w:rPr>
          <w:rFonts w:asciiTheme="minorHAnsi" w:hAnsiTheme="minorHAnsi" w:cstheme="minorHAnsi"/>
          <w:sz w:val="20"/>
          <w:szCs w:val="20"/>
        </w:rPr>
        <w:t>(1), 36–41.</w:t>
      </w:r>
    </w:p>
    <w:p w14:paraId="3C01AA9D"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Oanda, I. O., &amp; Jowi, J. (2012). University expansion and challenges to social development in Kenya: Dilemmas and pitfalls. </w:t>
      </w:r>
      <w:r w:rsidRPr="00E11C44">
        <w:rPr>
          <w:rFonts w:asciiTheme="minorHAnsi" w:hAnsiTheme="minorHAnsi" w:cstheme="minorHAnsi"/>
          <w:i/>
          <w:iCs/>
          <w:sz w:val="20"/>
          <w:szCs w:val="20"/>
        </w:rPr>
        <w:t>Journal of Higher Education in Africa, 10</w:t>
      </w:r>
      <w:r w:rsidRPr="00E11C44">
        <w:rPr>
          <w:rFonts w:asciiTheme="minorHAnsi" w:hAnsiTheme="minorHAnsi" w:cstheme="minorHAnsi"/>
          <w:sz w:val="20"/>
          <w:szCs w:val="20"/>
        </w:rPr>
        <w:t>(1), 49–71.</w:t>
      </w:r>
    </w:p>
    <w:p w14:paraId="26FB16E3"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Ochwangi</w:t>
      </w:r>
      <w:proofErr w:type="spellEnd"/>
      <w:r w:rsidRPr="00E11C44">
        <w:rPr>
          <w:rFonts w:asciiTheme="minorHAnsi" w:hAnsiTheme="minorHAnsi" w:cstheme="minorHAnsi"/>
          <w:sz w:val="20"/>
          <w:szCs w:val="20"/>
        </w:rPr>
        <w:t xml:space="preserve">, M. J., Salome, N., &amp; </w:t>
      </w:r>
      <w:proofErr w:type="spellStart"/>
      <w:r w:rsidRPr="00E11C44">
        <w:rPr>
          <w:rFonts w:asciiTheme="minorHAnsi" w:hAnsiTheme="minorHAnsi" w:cstheme="minorHAnsi"/>
          <w:sz w:val="20"/>
          <w:szCs w:val="20"/>
        </w:rPr>
        <w:t>Gathara</w:t>
      </w:r>
      <w:proofErr w:type="spellEnd"/>
      <w:r w:rsidRPr="00E11C44">
        <w:rPr>
          <w:rFonts w:asciiTheme="minorHAnsi" w:hAnsiTheme="minorHAnsi" w:cstheme="minorHAnsi"/>
          <w:sz w:val="20"/>
          <w:szCs w:val="20"/>
        </w:rPr>
        <w:t xml:space="preserve">, P. M. (2022). Institutional doctorate supervision practices influencing enrolment and completion rates. </w:t>
      </w:r>
      <w:r w:rsidRPr="00E11C44">
        <w:rPr>
          <w:rFonts w:asciiTheme="minorHAnsi" w:hAnsiTheme="minorHAnsi" w:cstheme="minorHAnsi"/>
          <w:i/>
          <w:iCs/>
          <w:sz w:val="20"/>
          <w:szCs w:val="20"/>
        </w:rPr>
        <w:t>International Journal of Learning and Development, 12</w:t>
      </w:r>
      <w:r w:rsidRPr="00E11C44">
        <w:rPr>
          <w:rFonts w:asciiTheme="minorHAnsi" w:hAnsiTheme="minorHAnsi" w:cstheme="minorHAnsi"/>
          <w:sz w:val="20"/>
          <w:szCs w:val="20"/>
        </w:rPr>
        <w:t>(2), 129–139.</w:t>
      </w:r>
    </w:p>
    <w:p w14:paraId="09A9D1BE"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Rawls, J. (1971). </w:t>
      </w:r>
      <w:r w:rsidRPr="00E11C44">
        <w:rPr>
          <w:rFonts w:asciiTheme="minorHAnsi" w:hAnsiTheme="minorHAnsi" w:cstheme="minorHAnsi"/>
          <w:i/>
          <w:iCs/>
          <w:sz w:val="20"/>
          <w:szCs w:val="20"/>
        </w:rPr>
        <w:t>A theory of justice</w:t>
      </w:r>
      <w:r w:rsidRPr="00E11C44">
        <w:rPr>
          <w:rFonts w:asciiTheme="minorHAnsi" w:hAnsiTheme="minorHAnsi" w:cstheme="minorHAnsi"/>
          <w:sz w:val="20"/>
          <w:szCs w:val="20"/>
        </w:rPr>
        <w:t>. Harvard University Press.</w:t>
      </w:r>
    </w:p>
    <w:p w14:paraId="52E0203E"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Rong’uno, S. K. (2016). </w:t>
      </w:r>
      <w:r w:rsidRPr="00E11C44">
        <w:rPr>
          <w:rFonts w:asciiTheme="minorHAnsi" w:hAnsiTheme="minorHAnsi" w:cstheme="minorHAnsi"/>
          <w:i/>
          <w:iCs/>
          <w:sz w:val="20"/>
          <w:szCs w:val="20"/>
        </w:rPr>
        <w:t>Institutional and student-related factors and doctoral completion rates in education at selected public universities in Kenya</w:t>
      </w:r>
      <w:r w:rsidRPr="00E11C44">
        <w:rPr>
          <w:rFonts w:asciiTheme="minorHAnsi" w:hAnsiTheme="minorHAnsi" w:cstheme="minorHAnsi"/>
          <w:sz w:val="20"/>
          <w:szCs w:val="20"/>
        </w:rPr>
        <w:t xml:space="preserve"> (Doctoral dissertation, University of Nairobi).</w:t>
      </w:r>
    </w:p>
    <w:p w14:paraId="7B41C987"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Sadowski, D., Schneider, P., &amp; Thaller, N. (2008). Do we need incentives for PhD supervisors? </w:t>
      </w:r>
      <w:r w:rsidRPr="00E11C44">
        <w:rPr>
          <w:rFonts w:asciiTheme="minorHAnsi" w:hAnsiTheme="minorHAnsi" w:cstheme="minorHAnsi"/>
          <w:i/>
          <w:iCs/>
          <w:sz w:val="20"/>
          <w:szCs w:val="20"/>
        </w:rPr>
        <w:t>European Journal of Education, 43</w:t>
      </w:r>
      <w:r w:rsidRPr="00E11C44">
        <w:rPr>
          <w:rFonts w:asciiTheme="minorHAnsi" w:hAnsiTheme="minorHAnsi" w:cstheme="minorHAnsi"/>
          <w:sz w:val="20"/>
          <w:szCs w:val="20"/>
        </w:rPr>
        <w:t>(3), 315–329.</w:t>
      </w:r>
    </w:p>
    <w:p w14:paraId="25DD4C89"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r w:rsidRPr="00E11C44">
        <w:rPr>
          <w:rFonts w:asciiTheme="minorHAnsi" w:hAnsiTheme="minorHAnsi" w:cstheme="minorHAnsi"/>
          <w:sz w:val="20"/>
          <w:szCs w:val="20"/>
        </w:rPr>
        <w:t xml:space="preserve">Skopek, J., </w:t>
      </w:r>
      <w:proofErr w:type="spellStart"/>
      <w:r w:rsidRPr="00E11C44">
        <w:rPr>
          <w:rFonts w:asciiTheme="minorHAnsi" w:hAnsiTheme="minorHAnsi" w:cstheme="minorHAnsi"/>
          <w:sz w:val="20"/>
          <w:szCs w:val="20"/>
        </w:rPr>
        <w:t>Triventi</w:t>
      </w:r>
      <w:proofErr w:type="spellEnd"/>
      <w:r w:rsidRPr="00E11C44">
        <w:rPr>
          <w:rFonts w:asciiTheme="minorHAnsi" w:hAnsiTheme="minorHAnsi" w:cstheme="minorHAnsi"/>
          <w:sz w:val="20"/>
          <w:szCs w:val="20"/>
        </w:rPr>
        <w:t xml:space="preserve">, M., &amp; </w:t>
      </w:r>
      <w:proofErr w:type="spellStart"/>
      <w:r w:rsidRPr="00E11C44">
        <w:rPr>
          <w:rFonts w:asciiTheme="minorHAnsi" w:hAnsiTheme="minorHAnsi" w:cstheme="minorHAnsi"/>
          <w:sz w:val="20"/>
          <w:szCs w:val="20"/>
        </w:rPr>
        <w:t>Blossfeld</w:t>
      </w:r>
      <w:proofErr w:type="spellEnd"/>
      <w:r w:rsidRPr="00E11C44">
        <w:rPr>
          <w:rFonts w:asciiTheme="minorHAnsi" w:hAnsiTheme="minorHAnsi" w:cstheme="minorHAnsi"/>
          <w:sz w:val="20"/>
          <w:szCs w:val="20"/>
        </w:rPr>
        <w:t xml:space="preserve">, H.-P. (2020). How do institutional factors shape PhD completion rates? </w:t>
      </w:r>
      <w:r w:rsidRPr="00E11C44">
        <w:rPr>
          <w:rFonts w:asciiTheme="minorHAnsi" w:hAnsiTheme="minorHAnsi" w:cstheme="minorHAnsi"/>
          <w:i/>
          <w:iCs/>
          <w:sz w:val="20"/>
          <w:szCs w:val="20"/>
        </w:rPr>
        <w:t>Studies in Higher Education, 47</w:t>
      </w:r>
      <w:r w:rsidRPr="00E11C44">
        <w:rPr>
          <w:rFonts w:asciiTheme="minorHAnsi" w:hAnsiTheme="minorHAnsi" w:cstheme="minorHAnsi"/>
          <w:sz w:val="20"/>
          <w:szCs w:val="20"/>
        </w:rPr>
        <w:t>(2), 1–20.</w:t>
      </w:r>
    </w:p>
    <w:p w14:paraId="35CDED6D" w14:textId="77777777" w:rsidR="005E1731" w:rsidRPr="00E11C44" w:rsidRDefault="005E1731" w:rsidP="005E1731">
      <w:pPr>
        <w:pStyle w:val="NoSpacing"/>
        <w:spacing w:before="120" w:after="120" w:line="259" w:lineRule="auto"/>
        <w:ind w:left="227" w:hanging="227"/>
        <w:jc w:val="both"/>
        <w:rPr>
          <w:rFonts w:asciiTheme="minorHAnsi" w:hAnsiTheme="minorHAnsi" w:cstheme="minorHAnsi"/>
          <w:sz w:val="20"/>
          <w:szCs w:val="20"/>
        </w:rPr>
      </w:pPr>
      <w:proofErr w:type="spellStart"/>
      <w:r w:rsidRPr="00E11C44">
        <w:rPr>
          <w:rFonts w:asciiTheme="minorHAnsi" w:hAnsiTheme="minorHAnsi" w:cstheme="minorHAnsi"/>
          <w:sz w:val="20"/>
          <w:szCs w:val="20"/>
        </w:rPr>
        <w:t>Sverdlik</w:t>
      </w:r>
      <w:proofErr w:type="spellEnd"/>
      <w:r w:rsidRPr="00E11C44">
        <w:rPr>
          <w:rFonts w:asciiTheme="minorHAnsi" w:hAnsiTheme="minorHAnsi" w:cstheme="minorHAnsi"/>
          <w:sz w:val="20"/>
          <w:szCs w:val="20"/>
        </w:rPr>
        <w:t xml:space="preserve">, A., Hall, N., McAlpine, L., &amp; Hubbard, K. (2018). The PhD experience: Factors influencing doctoral students’ completion and well-being. </w:t>
      </w:r>
      <w:r w:rsidRPr="00E11C44">
        <w:rPr>
          <w:rFonts w:asciiTheme="minorHAnsi" w:hAnsiTheme="minorHAnsi" w:cstheme="minorHAnsi"/>
          <w:i/>
          <w:iCs/>
          <w:sz w:val="20"/>
          <w:szCs w:val="20"/>
        </w:rPr>
        <w:t>International Journal of Doctoral Studies, 13</w:t>
      </w:r>
      <w:r w:rsidRPr="00E11C44">
        <w:rPr>
          <w:rFonts w:asciiTheme="minorHAnsi" w:hAnsiTheme="minorHAnsi" w:cstheme="minorHAnsi"/>
          <w:sz w:val="20"/>
          <w:szCs w:val="20"/>
        </w:rPr>
        <w:t>, 361–388.</w:t>
      </w:r>
    </w:p>
    <w:p w14:paraId="381A3747" w14:textId="77777777" w:rsidR="005E1731" w:rsidRPr="00E11C44" w:rsidRDefault="005E1731" w:rsidP="005E1731">
      <w:pPr>
        <w:pStyle w:val="NoSpacing"/>
        <w:spacing w:before="120" w:after="120" w:line="259" w:lineRule="auto"/>
        <w:ind w:left="227" w:hanging="227"/>
        <w:rPr>
          <w:rFonts w:asciiTheme="minorHAnsi" w:hAnsiTheme="minorHAnsi" w:cstheme="minorHAnsi"/>
          <w:sz w:val="20"/>
          <w:szCs w:val="20"/>
        </w:rPr>
      </w:pPr>
      <w:r w:rsidRPr="00E11C44">
        <w:rPr>
          <w:rFonts w:asciiTheme="minorHAnsi" w:hAnsiTheme="minorHAnsi" w:cstheme="minorHAnsi"/>
          <w:sz w:val="20"/>
          <w:szCs w:val="20"/>
        </w:rPr>
        <w:t xml:space="preserve">Taylor, A. (2022, February 4). Other countries have made progress in levelling up: Here’s how the UK compares. </w:t>
      </w:r>
      <w:hyperlink r:id="rId29" w:history="1">
        <w:r w:rsidRPr="00E11C44">
          <w:rPr>
            <w:rStyle w:val="Hyperlink"/>
            <w:rFonts w:asciiTheme="minorHAnsi" w:hAnsiTheme="minorHAnsi" w:cstheme="minorHAnsi"/>
            <w:sz w:val="20"/>
            <w:szCs w:val="20"/>
          </w:rPr>
          <w:t>https://blog.bham.ac.uk/cityredi</w:t>
        </w:r>
      </w:hyperlink>
    </w:p>
    <w:p w14:paraId="60C77FF9" w14:textId="77777777" w:rsidR="005E1731" w:rsidRPr="00E11C44" w:rsidRDefault="005E1731" w:rsidP="005E1731">
      <w:pPr>
        <w:pStyle w:val="NoSpacing"/>
        <w:spacing w:before="120" w:after="120" w:line="259" w:lineRule="auto"/>
        <w:ind w:left="227" w:hanging="227"/>
        <w:rPr>
          <w:rFonts w:asciiTheme="minorHAnsi" w:hAnsiTheme="minorHAnsi" w:cstheme="minorHAnsi"/>
          <w:sz w:val="20"/>
          <w:szCs w:val="20"/>
        </w:rPr>
      </w:pPr>
      <w:r w:rsidRPr="00E11C44">
        <w:rPr>
          <w:rFonts w:asciiTheme="minorHAnsi" w:hAnsiTheme="minorHAnsi" w:cstheme="minorHAnsi"/>
          <w:sz w:val="20"/>
          <w:szCs w:val="20"/>
        </w:rPr>
        <w:t xml:space="preserve">Taylor, S., &amp; Wisker, G. (2023). The changing landscape of doctoral education in the UK. </w:t>
      </w:r>
      <w:r w:rsidRPr="00E11C44">
        <w:rPr>
          <w:rFonts w:asciiTheme="minorHAnsi" w:hAnsiTheme="minorHAnsi" w:cstheme="minorHAnsi"/>
          <w:i/>
          <w:iCs/>
          <w:sz w:val="20"/>
          <w:szCs w:val="20"/>
        </w:rPr>
        <w:t>Innovations in Education and Teaching International, 60</w:t>
      </w:r>
      <w:r w:rsidRPr="00E11C44">
        <w:rPr>
          <w:rFonts w:asciiTheme="minorHAnsi" w:hAnsiTheme="minorHAnsi" w:cstheme="minorHAnsi"/>
          <w:sz w:val="20"/>
          <w:szCs w:val="20"/>
        </w:rPr>
        <w:t>(5), 759–774.</w:t>
      </w:r>
    </w:p>
    <w:p w14:paraId="608563D9" w14:textId="77777777" w:rsidR="005E1731" w:rsidRPr="00E11C44" w:rsidRDefault="005E1731" w:rsidP="005E1731">
      <w:pPr>
        <w:pStyle w:val="NoSpacing"/>
        <w:spacing w:before="120" w:after="120" w:line="259" w:lineRule="auto"/>
        <w:ind w:left="227" w:hanging="227"/>
        <w:rPr>
          <w:rFonts w:asciiTheme="minorHAnsi" w:hAnsiTheme="minorHAnsi" w:cstheme="minorHAnsi"/>
          <w:sz w:val="20"/>
          <w:szCs w:val="20"/>
        </w:rPr>
      </w:pPr>
      <w:proofErr w:type="spellStart"/>
      <w:r w:rsidRPr="00E11C44">
        <w:rPr>
          <w:rFonts w:asciiTheme="minorHAnsi" w:hAnsiTheme="minorHAnsi" w:cstheme="minorHAnsi"/>
          <w:sz w:val="20"/>
          <w:szCs w:val="20"/>
        </w:rPr>
        <w:t>Torka</w:t>
      </w:r>
      <w:proofErr w:type="spellEnd"/>
      <w:r w:rsidRPr="00E11C44">
        <w:rPr>
          <w:rFonts w:asciiTheme="minorHAnsi" w:hAnsiTheme="minorHAnsi" w:cstheme="minorHAnsi"/>
          <w:sz w:val="20"/>
          <w:szCs w:val="20"/>
        </w:rPr>
        <w:t xml:space="preserve">, M., Kohl, U., &amp; Mahoney, W. M. (2022). Funding of doctoral education and research. In M. Nerad et al. (Eds.), </w:t>
      </w:r>
      <w:r w:rsidRPr="00E11C44">
        <w:rPr>
          <w:rFonts w:asciiTheme="minorHAnsi" w:hAnsiTheme="minorHAnsi" w:cstheme="minorHAnsi"/>
          <w:i/>
          <w:iCs/>
          <w:sz w:val="20"/>
          <w:szCs w:val="20"/>
        </w:rPr>
        <w:t>Towards a core values system in doctoral education</w:t>
      </w:r>
      <w:r w:rsidRPr="00E11C44">
        <w:rPr>
          <w:rFonts w:asciiTheme="minorHAnsi" w:hAnsiTheme="minorHAnsi" w:cstheme="minorHAnsi"/>
          <w:sz w:val="20"/>
          <w:szCs w:val="20"/>
        </w:rPr>
        <w:t xml:space="preserve"> (pp. 110–132). UCL Press.</w:t>
      </w:r>
    </w:p>
    <w:p w14:paraId="7854675A" w14:textId="77777777" w:rsidR="005E1731" w:rsidRPr="00E11C44" w:rsidRDefault="005E1731" w:rsidP="005E1731">
      <w:pPr>
        <w:pStyle w:val="NoSpacing"/>
        <w:spacing w:before="120" w:after="120" w:line="259" w:lineRule="auto"/>
        <w:ind w:left="227" w:hanging="227"/>
        <w:rPr>
          <w:rFonts w:asciiTheme="minorHAnsi" w:hAnsiTheme="minorHAnsi" w:cstheme="minorHAnsi"/>
          <w:sz w:val="20"/>
          <w:szCs w:val="20"/>
        </w:rPr>
      </w:pPr>
      <w:proofErr w:type="spellStart"/>
      <w:r w:rsidRPr="00E11C44">
        <w:rPr>
          <w:rFonts w:asciiTheme="minorHAnsi" w:hAnsiTheme="minorHAnsi" w:cstheme="minorHAnsi"/>
          <w:sz w:val="20"/>
          <w:szCs w:val="20"/>
        </w:rPr>
        <w:t>Tusting</w:t>
      </w:r>
      <w:proofErr w:type="spellEnd"/>
      <w:r w:rsidRPr="00E11C44">
        <w:rPr>
          <w:rFonts w:asciiTheme="minorHAnsi" w:hAnsiTheme="minorHAnsi" w:cstheme="minorHAnsi"/>
          <w:sz w:val="20"/>
          <w:szCs w:val="20"/>
        </w:rPr>
        <w:t xml:space="preserve">, L. S., Gething, P. W., Gibson, H. S., Greenwood, B., Knudsen, J., Lindsay, S. W., &amp; Bhatt, S. (2020). Housing and child health in Sub-Saharan Africa. </w:t>
      </w:r>
      <w:r w:rsidRPr="00E11C44">
        <w:rPr>
          <w:rFonts w:asciiTheme="minorHAnsi" w:hAnsiTheme="minorHAnsi" w:cstheme="minorHAnsi"/>
          <w:i/>
          <w:iCs/>
          <w:sz w:val="20"/>
          <w:szCs w:val="20"/>
        </w:rPr>
        <w:t>PLOS Medicine, 17</w:t>
      </w:r>
      <w:r w:rsidRPr="00E11C44">
        <w:rPr>
          <w:rFonts w:asciiTheme="minorHAnsi" w:hAnsiTheme="minorHAnsi" w:cstheme="minorHAnsi"/>
          <w:sz w:val="20"/>
          <w:szCs w:val="20"/>
        </w:rPr>
        <w:t>(3), e1003055.</w:t>
      </w:r>
    </w:p>
    <w:p w14:paraId="590DDAA2" w14:textId="77777777" w:rsidR="005E1731" w:rsidRPr="00E11C44" w:rsidRDefault="005E1731" w:rsidP="005E1731">
      <w:pPr>
        <w:pStyle w:val="NoSpacing"/>
        <w:spacing w:before="120" w:after="120" w:line="259" w:lineRule="auto"/>
        <w:ind w:left="227" w:hanging="227"/>
        <w:rPr>
          <w:rFonts w:asciiTheme="minorHAnsi" w:hAnsiTheme="minorHAnsi" w:cstheme="minorHAnsi"/>
          <w:sz w:val="20"/>
          <w:szCs w:val="20"/>
        </w:rPr>
      </w:pPr>
      <w:proofErr w:type="spellStart"/>
      <w:r w:rsidRPr="00E11C44">
        <w:rPr>
          <w:rFonts w:asciiTheme="minorHAnsi" w:hAnsiTheme="minorHAnsi" w:cstheme="minorHAnsi"/>
          <w:sz w:val="20"/>
          <w:szCs w:val="20"/>
        </w:rPr>
        <w:t>Vilkinas</w:t>
      </w:r>
      <w:proofErr w:type="spellEnd"/>
      <w:r w:rsidRPr="00E11C44">
        <w:rPr>
          <w:rFonts w:asciiTheme="minorHAnsi" w:hAnsiTheme="minorHAnsi" w:cstheme="minorHAnsi"/>
          <w:sz w:val="20"/>
          <w:szCs w:val="20"/>
        </w:rPr>
        <w:t xml:space="preserve">, T. (2008). An exploratory study of PhD supervision. </w:t>
      </w:r>
      <w:r w:rsidRPr="00E11C44">
        <w:rPr>
          <w:rFonts w:asciiTheme="minorHAnsi" w:hAnsiTheme="minorHAnsi" w:cstheme="minorHAnsi"/>
          <w:i/>
          <w:iCs/>
          <w:sz w:val="20"/>
          <w:szCs w:val="20"/>
        </w:rPr>
        <w:t>Innovative Higher Education, 32</w:t>
      </w:r>
      <w:r w:rsidRPr="00E11C44">
        <w:rPr>
          <w:rFonts w:asciiTheme="minorHAnsi" w:hAnsiTheme="minorHAnsi" w:cstheme="minorHAnsi"/>
          <w:sz w:val="20"/>
          <w:szCs w:val="20"/>
        </w:rPr>
        <w:t>, 297–311.</w:t>
      </w:r>
    </w:p>
    <w:p w14:paraId="03896B45" w14:textId="77777777" w:rsidR="005E1731" w:rsidRPr="00E11C44" w:rsidRDefault="005E1731" w:rsidP="005E1731">
      <w:pPr>
        <w:pStyle w:val="NoSpacing"/>
        <w:spacing w:before="120" w:after="120" w:line="259" w:lineRule="auto"/>
        <w:ind w:left="227" w:hanging="227"/>
        <w:rPr>
          <w:rFonts w:asciiTheme="minorHAnsi" w:hAnsiTheme="minorHAnsi" w:cstheme="minorHAnsi"/>
          <w:sz w:val="20"/>
          <w:szCs w:val="20"/>
        </w:rPr>
      </w:pPr>
      <w:r w:rsidRPr="00E11C44">
        <w:rPr>
          <w:rFonts w:asciiTheme="minorHAnsi" w:hAnsiTheme="minorHAnsi" w:cstheme="minorHAnsi"/>
          <w:sz w:val="20"/>
          <w:szCs w:val="20"/>
        </w:rPr>
        <w:t xml:space="preserve">Werner, L. (2021). John Rawls. In E. N. Zalta (Ed.), </w:t>
      </w:r>
      <w:r w:rsidRPr="00E11C44">
        <w:rPr>
          <w:rFonts w:asciiTheme="minorHAnsi" w:hAnsiTheme="minorHAnsi" w:cstheme="minorHAnsi"/>
          <w:i/>
          <w:iCs/>
          <w:sz w:val="20"/>
          <w:szCs w:val="20"/>
        </w:rPr>
        <w:t xml:space="preserve">The Stanford </w:t>
      </w:r>
      <w:proofErr w:type="spellStart"/>
      <w:r w:rsidRPr="005E1731">
        <w:rPr>
          <w:rFonts w:asciiTheme="minorHAnsi" w:hAnsiTheme="minorHAnsi" w:cstheme="minorHAnsi"/>
          <w:i/>
          <w:iCs/>
          <w:sz w:val="20"/>
          <w:szCs w:val="20"/>
        </w:rPr>
        <w:t>encyclopedia</w:t>
      </w:r>
      <w:proofErr w:type="spellEnd"/>
      <w:r w:rsidRPr="005E1731">
        <w:rPr>
          <w:rFonts w:asciiTheme="minorHAnsi" w:hAnsiTheme="minorHAnsi" w:cstheme="minorHAnsi"/>
          <w:i/>
          <w:iCs/>
          <w:sz w:val="20"/>
          <w:szCs w:val="20"/>
        </w:rPr>
        <w:t xml:space="preserve"> of philosophy</w:t>
      </w:r>
      <w:r w:rsidRPr="005E1731">
        <w:rPr>
          <w:rFonts w:asciiTheme="minorHAnsi" w:hAnsiTheme="minorHAnsi" w:cstheme="minorHAnsi"/>
          <w:sz w:val="20"/>
          <w:szCs w:val="20"/>
        </w:rPr>
        <w:t xml:space="preserve"> </w:t>
      </w:r>
      <w:r w:rsidRPr="00E11C44">
        <w:rPr>
          <w:rFonts w:asciiTheme="minorHAnsi" w:hAnsiTheme="minorHAnsi" w:cstheme="minorHAnsi"/>
          <w:sz w:val="20"/>
          <w:szCs w:val="20"/>
        </w:rPr>
        <w:t xml:space="preserve">(Summer 2021 ed.). </w:t>
      </w:r>
      <w:hyperlink r:id="rId30" w:history="1">
        <w:r w:rsidRPr="00E11C44">
          <w:rPr>
            <w:rStyle w:val="Hyperlink"/>
            <w:rFonts w:asciiTheme="minorHAnsi" w:hAnsiTheme="minorHAnsi" w:cstheme="minorHAnsi"/>
            <w:sz w:val="20"/>
            <w:szCs w:val="20"/>
          </w:rPr>
          <w:t>https://plato.stanford.edu/archives/sum2021/entries/rawls/</w:t>
        </w:r>
      </w:hyperlink>
    </w:p>
    <w:p w14:paraId="22431D25" w14:textId="77777777" w:rsidR="005A30A6" w:rsidRDefault="005A30A6" w:rsidP="005E1731">
      <w:pPr>
        <w:spacing w:before="120" w:after="120"/>
        <w:ind w:left="227" w:hanging="227"/>
        <w:jc w:val="both"/>
        <w:rPr>
          <w:rFonts w:ascii="Times New Roman" w:eastAsia="Times New Roman" w:hAnsi="Times New Roman" w:cs="Times New Roman"/>
          <w:color w:val="000000"/>
          <w:sz w:val="20"/>
          <w:szCs w:val="20"/>
        </w:rPr>
      </w:pPr>
    </w:p>
    <w:sectPr w:rsidR="005A30A6" w:rsidSect="00940C0B">
      <w:headerReference w:type="default" r:id="rId31"/>
      <w:footerReference w:type="default" r:id="rId32"/>
      <w:type w:val="continuous"/>
      <w:pgSz w:w="11906" w:h="16838"/>
      <w:pgMar w:top="1440" w:right="1080" w:bottom="1440" w:left="1080" w:header="709" w:footer="709" w:gutter="0"/>
      <w:cols w:num="2" w:space="720" w:equalWidth="0">
        <w:col w:w="4759" w:space="227"/>
        <w:col w:w="475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98D6" w14:textId="77777777" w:rsidR="0013271F" w:rsidRDefault="0013271F">
      <w:pPr>
        <w:spacing w:line="240" w:lineRule="auto"/>
      </w:pPr>
      <w:r>
        <w:separator/>
      </w:r>
    </w:p>
  </w:endnote>
  <w:endnote w:type="continuationSeparator" w:id="0">
    <w:p w14:paraId="47CD9310" w14:textId="77777777" w:rsidR="0013271F" w:rsidRDefault="0013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385B" w14:textId="721AA4BE" w:rsidR="00940C0B" w:rsidRDefault="007710D6" w:rsidP="007710D6">
    <w:pPr>
      <w:tabs>
        <w:tab w:val="center" w:pos="4513"/>
        <w:tab w:val="right" w:pos="9026"/>
      </w:tabs>
      <w:spacing w:after="0" w:line="240" w:lineRule="auto"/>
      <w:rPr>
        <w:color w:val="000000"/>
        <w:sz w:val="18"/>
        <w:szCs w:val="18"/>
      </w:rPr>
    </w:pPr>
    <w:hyperlink r:id="rId1" w:history="1">
      <w:r w:rsidRPr="005A486D">
        <w:rPr>
          <w:rStyle w:val="Hyperlink"/>
          <w:sz w:val="18"/>
          <w:szCs w:val="18"/>
        </w:rPr>
        <w:t>https://doi.org/10.24377/prism.article2709</w:t>
      </w:r>
    </w:hyperlink>
    <w:r w:rsidR="00D13AB7">
      <w:rPr>
        <w:color w:val="000000"/>
        <w:sz w:val="18"/>
        <w:szCs w:val="18"/>
      </w:rPr>
      <w:t xml:space="preserve">    </w:t>
    </w:r>
    <w:r>
      <w:rPr>
        <w:color w:val="000000"/>
        <w:sz w:val="18"/>
        <w:szCs w:val="18"/>
      </w:rPr>
      <w:tab/>
    </w:r>
    <w:r w:rsidR="00D13AB7">
      <w:rPr>
        <w:color w:val="000000"/>
        <w:sz w:val="18"/>
        <w:szCs w:val="18"/>
      </w:rPr>
      <w:t xml:space="preserve"> </w:t>
    </w:r>
    <w:r w:rsidR="00D13AB7">
      <w:rPr>
        <w:color w:val="000000"/>
        <w:sz w:val="18"/>
        <w:szCs w:val="18"/>
      </w:rPr>
      <w:fldChar w:fldCharType="begin"/>
    </w:r>
    <w:r w:rsidR="00D13AB7">
      <w:rPr>
        <w:color w:val="000000"/>
        <w:sz w:val="18"/>
        <w:szCs w:val="18"/>
      </w:rPr>
      <w:instrText>PAGE</w:instrText>
    </w:r>
    <w:r w:rsidR="00D13AB7">
      <w:rPr>
        <w:color w:val="000000"/>
        <w:sz w:val="18"/>
        <w:szCs w:val="18"/>
      </w:rPr>
      <w:fldChar w:fldCharType="separate"/>
    </w:r>
    <w:r w:rsidR="00D13AB7">
      <w:rPr>
        <w:noProof/>
        <w:color w:val="000000"/>
        <w:sz w:val="18"/>
        <w:szCs w:val="18"/>
      </w:rPr>
      <w:t>1</w:t>
    </w:r>
    <w:r w:rsidR="00D13AB7">
      <w:rPr>
        <w:color w:val="000000"/>
        <w:sz w:val="18"/>
        <w:szCs w:val="18"/>
      </w:rPr>
      <w:fldChar w:fldCharType="end"/>
    </w:r>
  </w:p>
  <w:p w14:paraId="125E0B0C" w14:textId="2592E4C6" w:rsidR="005A30A6" w:rsidRDefault="00D13AB7">
    <w:pPr>
      <w:tabs>
        <w:tab w:val="center" w:pos="4513"/>
        <w:tab w:val="right" w:pos="9026"/>
      </w:tabs>
      <w:spacing w:after="0" w:line="240" w:lineRule="auto"/>
      <w:jc w:val="center"/>
      <w:rPr>
        <w:color w:val="000000"/>
        <w:sz w:val="18"/>
        <w:szCs w:val="18"/>
      </w:rPr>
    </w:pPr>
    <w:r>
      <w:rPr>
        <w:color w:val="000000"/>
        <w:sz w:val="18"/>
        <w:szCs w:val="18"/>
      </w:rPr>
      <w:t>© 20</w:t>
    </w:r>
    <w:r w:rsidR="00940C0B">
      <w:rPr>
        <w:color w:val="000000"/>
        <w:sz w:val="18"/>
        <w:szCs w:val="18"/>
      </w:rPr>
      <w:t>26</w:t>
    </w:r>
    <w:r>
      <w:rPr>
        <w:color w:val="000000"/>
        <w:sz w:val="18"/>
        <w:szCs w:val="18"/>
      </w:rPr>
      <w:t xml:space="preserve"> PRISM, </w:t>
    </w:r>
    <w:r>
      <w:rPr>
        <w:i/>
        <w:color w:val="000000"/>
        <w:sz w:val="18"/>
        <w:szCs w:val="18"/>
      </w:rPr>
      <w:t>ISSN: 2514-5347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E04" w14:textId="231F0C8F" w:rsidR="005A30A6" w:rsidRPr="00646D47" w:rsidRDefault="00646D47" w:rsidP="00646D47">
    <w:pPr>
      <w:pStyle w:val="Footer"/>
      <w:tabs>
        <w:tab w:val="center" w:pos="4873"/>
        <w:tab w:val="left" w:pos="7523"/>
      </w:tabs>
    </w:pPr>
    <w:r w:rsidRPr="00646D47">
      <w:rPr>
        <w:i/>
        <w:iCs/>
        <w:color w:val="000000"/>
      </w:rPr>
      <w:t>PRISM</w:t>
    </w:r>
    <w:r>
      <w:tab/>
    </w:r>
    <w:sdt>
      <w:sdtPr>
        <w:id w:val="1923294360"/>
        <w:docPartObj>
          <w:docPartGallery w:val="Page Numbers (Bottom of Page)"/>
          <w:docPartUnique/>
        </w:docPartObj>
      </w:sdtPr>
      <w:sdtEndPr>
        <w:rPr>
          <w:noProof/>
        </w:rPr>
      </w:sdtEndPr>
      <w:sdtContent>
        <w:r w:rsidR="00940C0B">
          <w:fldChar w:fldCharType="begin"/>
        </w:r>
        <w:r w:rsidR="00940C0B">
          <w:instrText xml:space="preserve"> PAGE   \* MERGEFORMAT </w:instrText>
        </w:r>
        <w:r w:rsidR="00940C0B">
          <w:fldChar w:fldCharType="separate"/>
        </w:r>
        <w:r w:rsidR="00940C0B">
          <w:rPr>
            <w:noProof/>
          </w:rPr>
          <w:t>2</w:t>
        </w:r>
        <w:r w:rsidR="00940C0B">
          <w:rPr>
            <w:noProof/>
          </w:rPr>
          <w:fldChar w:fldCharType="end"/>
        </w:r>
      </w:sdtContent>
    </w:sdt>
    <w:r>
      <w:rPr>
        <w:noProof/>
      </w:rPr>
      <w:tab/>
    </w:r>
    <w:r>
      <w:rPr>
        <w:noProof/>
      </w:rPr>
      <w:tab/>
    </w:r>
    <w:r>
      <w:rPr>
        <w:noProof/>
      </w:rPr>
      <w:tab/>
      <w:t xml:space="preserve"> </w:t>
    </w:r>
    <w:r w:rsidRPr="00646D47">
      <w:rPr>
        <w:i/>
        <w:iCs/>
        <w:noProof/>
      </w:rPr>
      <w:t>Early View</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0B97" w14:textId="77777777" w:rsidR="0013271F" w:rsidRDefault="0013271F">
      <w:pPr>
        <w:spacing w:after="0"/>
      </w:pPr>
      <w:r>
        <w:separator/>
      </w:r>
    </w:p>
  </w:footnote>
  <w:footnote w:type="continuationSeparator" w:id="0">
    <w:p w14:paraId="16EE82CE" w14:textId="77777777" w:rsidR="0013271F" w:rsidRDefault="0013271F">
      <w:pPr>
        <w:spacing w:after="0"/>
      </w:pPr>
      <w:r>
        <w:continuationSeparator/>
      </w:r>
    </w:p>
  </w:footnote>
  <w:footnote w:id="1">
    <w:p w14:paraId="79C94A41" w14:textId="77777777" w:rsidR="005A30A6" w:rsidRDefault="00D13AB7">
      <w:pPr>
        <w:pStyle w:val="FootnoteText"/>
      </w:pPr>
      <w:r>
        <w:rPr>
          <w:rStyle w:val="FootnoteReference"/>
        </w:rPr>
        <w:footnoteRef/>
      </w:r>
      <w:r>
        <w:t xml:space="preserve"> A form of temporary accreditation status granted to a university in accordance with the Kenyan Universities Act.</w:t>
      </w:r>
    </w:p>
  </w:footnote>
  <w:footnote w:id="2">
    <w:p w14:paraId="3A32A343" w14:textId="77777777" w:rsidR="005A30A6" w:rsidRDefault="00D13AB7">
      <w:pPr>
        <w:pStyle w:val="FootnoteText"/>
        <w:snapToGrid w:val="0"/>
      </w:pPr>
      <w:r>
        <w:rPr>
          <w:rStyle w:val="FootnoteReference"/>
        </w:rPr>
        <w:footnoteRef/>
      </w:r>
      <w:r>
        <w:t xml:space="preserve"> </w:t>
      </w:r>
      <w:hyperlink r:id="rId1" w:history="1">
        <w:r>
          <w:t>Commission for University Education - Home (cue.or.ke)</w:t>
        </w:r>
      </w:hyperlink>
      <w:r>
        <w:t xml:space="preserve"> </w:t>
      </w:r>
    </w:p>
  </w:footnote>
  <w:footnote w:id="3">
    <w:p w14:paraId="43AE20B9" w14:textId="77777777" w:rsidR="005A30A6" w:rsidRDefault="00D13AB7">
      <w:pPr>
        <w:pStyle w:val="FootnoteText"/>
      </w:pPr>
      <w:r>
        <w:rPr>
          <w:rStyle w:val="FootnoteReference"/>
        </w:rPr>
        <w:footnoteRef/>
      </w:r>
      <w:r>
        <w:t xml:space="preserve">See: </w:t>
      </w:r>
      <w:hyperlink r:id="rId2" w:history="1">
        <w:r>
          <w:rPr>
            <w:rStyle w:val="FollowedHyperlink"/>
          </w:rPr>
          <w:t>https://vision2030.go.ke</w:t>
        </w:r>
      </w:hyperlink>
      <w:r>
        <w:t xml:space="preserve">  </w:t>
      </w:r>
    </w:p>
  </w:footnote>
  <w:footnote w:id="4">
    <w:p w14:paraId="0A2A3BD1" w14:textId="77777777" w:rsidR="005A30A6" w:rsidRDefault="00D13AB7">
      <w:pPr>
        <w:pStyle w:val="FootnoteText"/>
      </w:pPr>
      <w:r>
        <w:rPr>
          <w:rStyle w:val="FootnoteReference"/>
        </w:rPr>
        <w:footnoteRef/>
      </w:r>
      <w:r>
        <w:t xml:space="preserve"> See: </w:t>
      </w:r>
      <w:hyperlink r:id="rId3" w:history="1">
        <w:r>
          <w:rPr>
            <w:rStyle w:val="Hyperlink"/>
          </w:rPr>
          <w:t xml:space="preserve">The Kenya Institute of Curriculum Development at: https://kicd.ac.ke/ </w:t>
        </w:r>
      </w:hyperlink>
    </w:p>
  </w:footnote>
  <w:footnote w:id="5">
    <w:p w14:paraId="114575E7" w14:textId="77777777" w:rsidR="005A30A6" w:rsidRDefault="00D13AB7">
      <w:pPr>
        <w:pStyle w:val="FootnoteText"/>
        <w:snapToGrid w:val="0"/>
      </w:pPr>
      <w:r>
        <w:rPr>
          <w:rStyle w:val="FootnoteReference"/>
        </w:rPr>
        <w:footnoteRef/>
      </w:r>
      <w:r>
        <w:t xml:space="preserve"> </w:t>
      </w:r>
      <w:hyperlink r:id="rId4" w:history="1">
        <w:r>
          <w:rPr>
            <w:rStyle w:val="Hyperlink"/>
          </w:rPr>
          <w:t>https://plato.stanford.edu/search/r?entry=/entries/rawls/&amp;page=1&amp;total_hits=2846&amp;pagesize=10&amp;archive=None&amp;rank=0&amp;query=social%20justice%20by%20rawls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DC95" w14:textId="0DA40096" w:rsidR="005A30A6" w:rsidRDefault="00D13AB7">
    <w:pPr>
      <w:pBdr>
        <w:bottom w:val="single" w:sz="4" w:space="0" w:color="000000"/>
      </w:pBdr>
      <w:tabs>
        <w:tab w:val="center" w:pos="4513"/>
        <w:tab w:val="right" w:pos="9026"/>
      </w:tabs>
      <w:spacing w:after="0" w:line="240" w:lineRule="auto"/>
      <w:rPr>
        <w:color w:val="000000"/>
      </w:rPr>
    </w:pPr>
    <w:r>
      <w:rPr>
        <w:b/>
        <w:i/>
        <w:color w:val="000000"/>
      </w:rPr>
      <w:t>PRISM</w:t>
    </w:r>
    <w:r>
      <w:rPr>
        <w:b/>
        <w:color w:val="000000"/>
      </w:rPr>
      <w:t xml:space="preserve"> </w:t>
    </w:r>
    <w:r>
      <w:rPr>
        <w:color w:val="000000"/>
      </w:rPr>
      <w:t xml:space="preserve">Journal        </w:t>
    </w:r>
    <w:r>
      <w:rPr>
        <w:noProof/>
      </w:rPr>
      <w:drawing>
        <wp:anchor distT="0" distB="0" distL="114300" distR="114300" simplePos="0" relativeHeight="251659264" behindDoc="0" locked="0" layoutInCell="1" allowOverlap="1" wp14:anchorId="71D46EC1" wp14:editId="7DA9E529">
          <wp:simplePos x="0" y="0"/>
          <wp:positionH relativeFrom="column">
            <wp:posOffset>5882005</wp:posOffset>
          </wp:positionH>
          <wp:positionV relativeFrom="paragraph">
            <wp:posOffset>-144780</wp:posOffset>
          </wp:positionV>
          <wp:extent cx="523875" cy="466725"/>
          <wp:effectExtent l="0" t="0" r="0" b="0"/>
          <wp:wrapSquare wrapText="bothSides"/>
          <wp:docPr id="588818595" name="image1.jpg" descr="A picture containing rug&#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jpg" descr="A picture containing rug&#10;&#10;Description automatically generated"/>
                  <pic:cNvPicPr preferRelativeResize="0"/>
                </pic:nvPicPr>
                <pic:blipFill>
                  <a:blip r:embed="rId1"/>
                  <a:srcRect/>
                  <a:stretch>
                    <a:fillRect/>
                  </a:stretch>
                </pic:blipFill>
                <pic:spPr>
                  <a:xfrm>
                    <a:off x="0" y="0"/>
                    <a:ext cx="523875" cy="466725"/>
                  </a:xfrm>
                  <a:prstGeom prst="rect">
                    <a:avLst/>
                  </a:prstGeom>
                </pic:spPr>
              </pic:pic>
            </a:graphicData>
          </a:graphic>
        </wp:anchor>
      </w:drawing>
    </w:r>
  </w:p>
  <w:p w14:paraId="45E2F4A7" w14:textId="33607782" w:rsidR="005A30A6" w:rsidRDefault="00D13AB7">
    <w:pPr>
      <w:tabs>
        <w:tab w:val="center" w:pos="4513"/>
        <w:tab w:val="right" w:pos="9026"/>
      </w:tabs>
      <w:spacing w:after="0" w:line="240" w:lineRule="auto"/>
      <w:rPr>
        <w:color w:val="000000"/>
        <w:sz w:val="20"/>
        <w:szCs w:val="20"/>
      </w:rPr>
    </w:pPr>
    <w:r>
      <w:rPr>
        <w:i/>
        <w:color w:val="000000"/>
        <w:sz w:val="20"/>
        <w:szCs w:val="20"/>
      </w:rPr>
      <w:t>PRISM</w:t>
    </w:r>
    <w:r>
      <w:rPr>
        <w:color w:val="000000"/>
        <w:sz w:val="20"/>
        <w:szCs w:val="20"/>
      </w:rPr>
      <w:t xml:space="preserve"> </w:t>
    </w:r>
    <w:r w:rsidR="001E4BF2" w:rsidRPr="001E4BF2">
      <w:rPr>
        <w:i/>
        <w:iCs/>
        <w:color w:val="000000"/>
        <w:sz w:val="20"/>
        <w:szCs w:val="20"/>
      </w:rPr>
      <w:t>Early View</w:t>
    </w:r>
    <w:r w:rsidR="001E4BF2">
      <w:rPr>
        <w:i/>
        <w:iCs/>
        <w:color w:val="000000"/>
        <w:sz w:val="20"/>
        <w:szCs w:val="20"/>
      </w:rPr>
      <w:t xml:space="preserve"> </w:t>
    </w:r>
    <w:r w:rsidR="001E4BF2">
      <w:rPr>
        <w:color w:val="000000"/>
        <w:sz w:val="20"/>
        <w:szCs w:val="20"/>
      </w:rPr>
      <w:t>(2026</w:t>
    </w:r>
    <w:proofErr w:type="gramStart"/>
    <w:r w:rsidR="001E4BF2">
      <w:rPr>
        <w:color w:val="000000"/>
        <w:sz w:val="20"/>
        <w:szCs w:val="20"/>
      </w:rPr>
      <w:t xml:space="preserve">)  </w:t>
    </w:r>
    <w:r w:rsidR="00940C0B">
      <w:rPr>
        <w:color w:val="000000"/>
        <w:sz w:val="20"/>
        <w:szCs w:val="20"/>
      </w:rPr>
      <w:tab/>
    </w:r>
    <w:proofErr w:type="gramEnd"/>
    <w:r w:rsidR="00940C0B">
      <w:rPr>
        <w:color w:val="000000"/>
        <w:sz w:val="20"/>
        <w:szCs w:val="20"/>
      </w:rPr>
      <w:tab/>
    </w:r>
    <w:hyperlink r:id="rId2" w:history="1">
      <w:r w:rsidR="007710D6" w:rsidRPr="007710D6">
        <w:rPr>
          <w:rStyle w:val="Hyperlink"/>
          <w:sz w:val="20"/>
          <w:szCs w:val="20"/>
        </w:rPr>
        <w:t>https://doi.org/10.24377/prism.article2709</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F831" w14:textId="21164C4C" w:rsidR="005A30A6" w:rsidRDefault="00D13AB7">
    <w:pPr>
      <w:pBdr>
        <w:bottom w:val="single" w:sz="4" w:space="1" w:color="000000"/>
      </w:pBdr>
      <w:tabs>
        <w:tab w:val="center" w:pos="4513"/>
        <w:tab w:val="right" w:pos="9026"/>
      </w:tabs>
      <w:spacing w:after="0" w:line="240" w:lineRule="auto"/>
      <w:rPr>
        <w:color w:val="000000"/>
      </w:rPr>
    </w:pPr>
    <w:r>
      <w:rPr>
        <w:i/>
        <w:color w:val="000000"/>
      </w:rPr>
      <w:t>PRISM</w:t>
    </w:r>
    <w:r>
      <w:rPr>
        <w:color w:val="000000"/>
      </w:rPr>
      <w:t xml:space="preserve"> </w:t>
    </w:r>
    <w:r w:rsidR="00940C0B" w:rsidRPr="00940C0B">
      <w:rPr>
        <w:i/>
        <w:iCs/>
        <w:color w:val="000000"/>
      </w:rPr>
      <w:t>Early View</w:t>
    </w:r>
    <w:r>
      <w:rPr>
        <w:color w:val="000000"/>
      </w:rPr>
      <w:t xml:space="preserve">                                                          </w:t>
    </w:r>
    <w:r w:rsidR="00940C0B">
      <w:rPr>
        <w:color w:val="000000"/>
      </w:rPr>
      <w:tab/>
    </w:r>
    <w:r w:rsidR="00940C0B">
      <w:rPr>
        <w:color w:val="000000"/>
      </w:rPr>
      <w:tab/>
      <w:t xml:space="preserve">   Kimathi</w:t>
    </w:r>
    <w:r>
      <w:rPr>
        <w:color w:val="000000"/>
      </w:rPr>
      <w:t xml:space="preserve"> (20</w:t>
    </w:r>
    <w:r w:rsidR="00940C0B">
      <w:rPr>
        <w:color w:val="000000"/>
      </w:rPr>
      <w:t>26</w:t>
    </w: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1174" w:hanging="360"/>
      </w:pPr>
      <w:rPr>
        <w:rFonts w:hint="default"/>
        <w:b/>
        <w:bCs/>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 w15:restartNumberingAfterBreak="0">
    <w:nsid w:val="4C3973B0"/>
    <w:multiLevelType w:val="hybridMultilevel"/>
    <w:tmpl w:val="7CE61FB8"/>
    <w:lvl w:ilvl="0" w:tplc="0809000F">
      <w:start w:val="1"/>
      <w:numFmt w:val="decimal"/>
      <w:lvlText w:val="%1."/>
      <w:lvlJc w:val="left"/>
      <w:pPr>
        <w:ind w:left="1174"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num w:numId="1" w16cid:durableId="1222791742">
    <w:abstractNumId w:val="0"/>
  </w:num>
  <w:num w:numId="2" w16cid:durableId="304356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A6"/>
    <w:rsid w:val="00042B00"/>
    <w:rsid w:val="00096C22"/>
    <w:rsid w:val="000F27FF"/>
    <w:rsid w:val="001074D2"/>
    <w:rsid w:val="0013271F"/>
    <w:rsid w:val="00152D94"/>
    <w:rsid w:val="001A0D4D"/>
    <w:rsid w:val="001C0567"/>
    <w:rsid w:val="001E4BF2"/>
    <w:rsid w:val="00214CC6"/>
    <w:rsid w:val="002E373F"/>
    <w:rsid w:val="00333836"/>
    <w:rsid w:val="00335FEA"/>
    <w:rsid w:val="004770E8"/>
    <w:rsid w:val="004A3EBD"/>
    <w:rsid w:val="005A30A6"/>
    <w:rsid w:val="005E1731"/>
    <w:rsid w:val="00646D47"/>
    <w:rsid w:val="006620D7"/>
    <w:rsid w:val="00692758"/>
    <w:rsid w:val="006A2DD4"/>
    <w:rsid w:val="006A3157"/>
    <w:rsid w:val="00756B6C"/>
    <w:rsid w:val="007710D6"/>
    <w:rsid w:val="00826ECF"/>
    <w:rsid w:val="00847F10"/>
    <w:rsid w:val="00865453"/>
    <w:rsid w:val="00940C0B"/>
    <w:rsid w:val="009E29D2"/>
    <w:rsid w:val="00A50A74"/>
    <w:rsid w:val="00BA60A0"/>
    <w:rsid w:val="00BB708A"/>
    <w:rsid w:val="00C511B3"/>
    <w:rsid w:val="00CA1461"/>
    <w:rsid w:val="00D13AB7"/>
    <w:rsid w:val="00D15E2D"/>
    <w:rsid w:val="00DD7438"/>
    <w:rsid w:val="00E70B08"/>
    <w:rsid w:val="00EA39C2"/>
    <w:rsid w:val="00EF798B"/>
    <w:rsid w:val="00F33846"/>
    <w:rsid w:val="00FB64D8"/>
    <w:rsid w:val="098B37AE"/>
    <w:rsid w:val="5CAF7995"/>
    <w:rsid w:val="5D5958B4"/>
    <w:rsid w:val="6BA8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3DAA"/>
  <w15:docId w15:val="{0CC3F296-912D-4588-B829-BEEF1C41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annotation text" w:semiHidden="1" w:uiPriority="99" w:unhideWhenUsed="1"/>
    <w:lsdException w:name="header" w:uiPriority="99" w:unhideWhenUsed="1" w:qFormat="1"/>
    <w:lsdException w:name="footer" w:uiPriority="99" w:unhideWhenUsed="1" w:qFormat="1"/>
    <w:lsdException w:name="caption" w:semiHidden="1" w:unhideWhenUsed="1" w:qFormat="1"/>
    <w:lsdException w:name="footnote reference" w:uiPriority="99" w:qFormat="1"/>
    <w:lsdException w:name="annotation reference" w:semiHidden="1" w:unhideWhenUsed="1" w:qFormat="1"/>
    <w:lsdException w:name="Default Paragraph Font" w:semiHidden="1" w:uiPriority="1" w:unhideWhenUsed="1"/>
    <w:lsdException w:name="Subtitle" w:qFormat="1"/>
    <w:lsdException w:name="Hyperlink" w:uiPriority="99" w:unhideWhenUsed="1" w:qFormat="1"/>
    <w:lsdException w:name="Followed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IOPHeader">
    <w:name w:val="IOPHeader"/>
    <w:basedOn w:val="Header"/>
    <w:link w:val="IOPHeaderChar"/>
    <w:qFormat/>
    <w:pPr>
      <w:pBdr>
        <w:bottom w:val="single" w:sz="4" w:space="1" w:color="auto"/>
      </w:pBdr>
    </w:pPr>
  </w:style>
  <w:style w:type="paragraph" w:customStyle="1" w:styleId="IOPTitle">
    <w:name w:val="IOPTitle"/>
    <w:basedOn w:val="Normal"/>
    <w:link w:val="IOPTitleChar"/>
    <w:qFormat/>
    <w:pPr>
      <w:spacing w:after="520"/>
    </w:pPr>
    <w:rPr>
      <w:b/>
      <w:sz w:val="48"/>
      <w:szCs w:val="48"/>
    </w:rPr>
  </w:style>
  <w:style w:type="character" w:customStyle="1" w:styleId="IOPHeaderChar">
    <w:name w:val="IOPHeader Char"/>
    <w:basedOn w:val="HeaderChar"/>
    <w:link w:val="IOPHeader"/>
  </w:style>
  <w:style w:type="paragraph" w:customStyle="1" w:styleId="IOPAuthor">
    <w:name w:val="IOPAuthor"/>
    <w:basedOn w:val="Normal"/>
    <w:link w:val="IOPAuthorChar"/>
    <w:qFormat/>
    <w:pPr>
      <w:spacing w:after="200"/>
      <w:ind w:right="2552"/>
    </w:pPr>
    <w:rPr>
      <w:b/>
    </w:rPr>
  </w:style>
  <w:style w:type="character" w:customStyle="1" w:styleId="IOPTitleChar">
    <w:name w:val="IOPTitle Char"/>
    <w:basedOn w:val="DefaultParagraphFont"/>
    <w:link w:val="IOPTitle"/>
    <w:qFormat/>
    <w:rPr>
      <w:b/>
      <w:sz w:val="48"/>
      <w:szCs w:val="48"/>
    </w:rPr>
  </w:style>
  <w:style w:type="paragraph" w:customStyle="1" w:styleId="IOPAff">
    <w:name w:val="IOPAff"/>
    <w:basedOn w:val="IOPAuthor"/>
    <w:link w:val="IOPAffChar"/>
    <w:qFormat/>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qFormat/>
    <w:rPr>
      <w:b/>
    </w:rPr>
  </w:style>
  <w:style w:type="paragraph" w:customStyle="1" w:styleId="IOPH1">
    <w:name w:val="IOPH1"/>
    <w:basedOn w:val="IOPAff"/>
    <w:link w:val="IOPH1Char"/>
    <w:qFormat/>
    <w:pPr>
      <w:spacing w:before="200" w:after="120"/>
      <w:ind w:right="0"/>
    </w:pPr>
    <w:rPr>
      <w:rFonts w:asciiTheme="minorHAnsi" w:hAnsiTheme="minorHAnsi"/>
      <w:b/>
      <w:sz w:val="22"/>
    </w:rPr>
  </w:style>
  <w:style w:type="character" w:customStyle="1" w:styleId="IOPAffChar">
    <w:name w:val="IOPAff Char"/>
    <w:basedOn w:val="IOPAuthorChar"/>
    <w:link w:val="IOPAff"/>
    <w:rPr>
      <w:rFonts w:ascii="Times New Roman" w:hAnsi="Times New Roman" w:cs="Times New Roman"/>
      <w:b w:val="0"/>
      <w:sz w:val="18"/>
      <w:szCs w:val="18"/>
    </w:rPr>
  </w:style>
  <w:style w:type="paragraph" w:customStyle="1" w:styleId="IOPAbsText">
    <w:name w:val="IOPAbsText"/>
    <w:basedOn w:val="Normal"/>
    <w:link w:val="IOPAbsTextChar"/>
    <w:qFormat/>
    <w:pPr>
      <w:spacing w:after="0"/>
      <w:ind w:right="2552"/>
    </w:pPr>
    <w:rPr>
      <w:rFonts w:ascii="Times New Roman" w:hAnsi="Times New Roman"/>
      <w:sz w:val="20"/>
    </w:rPr>
  </w:style>
  <w:style w:type="character" w:customStyle="1" w:styleId="IOPH1Char">
    <w:name w:val="IOPH1 Char"/>
    <w:basedOn w:val="IOPAffChar"/>
    <w:link w:val="IOPH1"/>
    <w:rPr>
      <w:rFonts w:ascii="Times New Roman" w:hAnsi="Times New Roman" w:cs="Times New Roman"/>
      <w:b/>
      <w:sz w:val="18"/>
      <w:szCs w:val="18"/>
    </w:rPr>
  </w:style>
  <w:style w:type="paragraph" w:customStyle="1" w:styleId="IOPKwd">
    <w:name w:val="IOPKwd"/>
    <w:basedOn w:val="IOPAbsText"/>
    <w:link w:val="IOPKwdChar"/>
    <w:qFormat/>
    <w:pPr>
      <w:pBdr>
        <w:bottom w:val="single" w:sz="4" w:space="1" w:color="auto"/>
      </w:pBdr>
      <w:spacing w:before="240" w:after="240"/>
      <w:ind w:right="0"/>
    </w:pPr>
  </w:style>
  <w:style w:type="character" w:customStyle="1" w:styleId="IOPAbsTextChar">
    <w:name w:val="IOPAbsText Char"/>
    <w:basedOn w:val="DefaultParagraphFont"/>
    <w:link w:val="IOPAbsText"/>
    <w:rPr>
      <w:rFonts w:ascii="Times New Roman" w:hAnsi="Times New Roman"/>
      <w:sz w:val="20"/>
    </w:rPr>
  </w:style>
  <w:style w:type="paragraph" w:customStyle="1" w:styleId="IOPText">
    <w:name w:val="IOPText"/>
    <w:basedOn w:val="IOPAbsText"/>
    <w:link w:val="IOPTextChar"/>
    <w:qFormat/>
    <w:pPr>
      <w:ind w:right="0" w:firstLine="227"/>
      <w:jc w:val="both"/>
    </w:pPr>
  </w:style>
  <w:style w:type="character" w:customStyle="1" w:styleId="IOPKwdChar">
    <w:name w:val="IOPKwd Char"/>
    <w:basedOn w:val="IOPAbsTextChar"/>
    <w:link w:val="IOPKwd"/>
    <w:qFormat/>
    <w:rPr>
      <w:rFonts w:ascii="Times New Roman" w:hAnsi="Times New Roman"/>
      <w:sz w:val="20"/>
    </w:rPr>
  </w:style>
  <w:style w:type="character" w:customStyle="1" w:styleId="IOPTextChar">
    <w:name w:val="IOPText Char"/>
    <w:basedOn w:val="IOPAbsTextChar"/>
    <w:link w:val="IOPText"/>
    <w:qFormat/>
    <w:rPr>
      <w:rFonts w:ascii="Times New Roman" w:hAnsi="Times New Roman"/>
      <w:sz w:val="20"/>
    </w:rPr>
  </w:style>
  <w:style w:type="paragraph" w:customStyle="1" w:styleId="IOPH2">
    <w:name w:val="IOPH2"/>
    <w:basedOn w:val="IOPH1"/>
    <w:link w:val="IOPH2Char"/>
    <w:qFormat/>
    <w:rPr>
      <w:b w:val="0"/>
      <w:i/>
    </w:rPr>
  </w:style>
  <w:style w:type="paragraph" w:customStyle="1" w:styleId="IOPH3">
    <w:name w:val="IOPH3"/>
    <w:basedOn w:val="IOPH2"/>
    <w:link w:val="IOPH3Char"/>
    <w:qFormat/>
    <w:pPr>
      <w:spacing w:after="0"/>
    </w:pPr>
  </w:style>
  <w:style w:type="character" w:customStyle="1" w:styleId="IOPH2Char">
    <w:name w:val="IOPH2 Char"/>
    <w:basedOn w:val="IOPH1Char"/>
    <w:link w:val="IOPH2"/>
    <w:qFormat/>
    <w:rPr>
      <w:rFonts w:ascii="Times New Roman" w:hAnsi="Times New Roman" w:cs="Times New Roman"/>
      <w:b w:val="0"/>
      <w:i/>
      <w:sz w:val="18"/>
      <w:szCs w:val="18"/>
    </w:rPr>
  </w:style>
  <w:style w:type="paragraph" w:customStyle="1" w:styleId="IOPrefs">
    <w:name w:val="IOPrefs"/>
    <w:link w:val="IOPrefsChar"/>
    <w:qFormat/>
    <w:pPr>
      <w:spacing w:line="259" w:lineRule="auto"/>
      <w:ind w:left="284" w:hanging="284"/>
    </w:pPr>
    <w:rPr>
      <w:rFonts w:ascii="Times New Roman" w:hAnsi="Times New Roman"/>
      <w:sz w:val="18"/>
      <w:szCs w:val="22"/>
    </w:rPr>
  </w:style>
  <w:style w:type="character" w:customStyle="1" w:styleId="IOPH3Char">
    <w:name w:val="IOPH3 Char"/>
    <w:basedOn w:val="IOPH2Char"/>
    <w:link w:val="IOPH3"/>
    <w:qFormat/>
    <w:rPr>
      <w:rFonts w:ascii="Times New Roman" w:hAnsi="Times New Roman" w:cs="Times New Roman"/>
      <w:b w:val="0"/>
      <w:i/>
      <w:sz w:val="18"/>
      <w:szCs w:val="18"/>
    </w:rPr>
  </w:style>
  <w:style w:type="paragraph" w:customStyle="1" w:styleId="IOPRefs0">
    <w:name w:val="IOPRefs"/>
    <w:basedOn w:val="IOPrefs"/>
    <w:link w:val="IOPRefsChar0"/>
    <w:qFormat/>
  </w:style>
  <w:style w:type="character" w:customStyle="1" w:styleId="IOPrefsChar">
    <w:name w:val="IOPrefs Char"/>
    <w:basedOn w:val="DefaultParagraphFont"/>
    <w:link w:val="IOPrefs"/>
    <w:qFormat/>
    <w:rPr>
      <w:rFonts w:ascii="Times New Roman" w:hAnsi="Times New Roman"/>
      <w:sz w:val="18"/>
    </w:rPr>
  </w:style>
  <w:style w:type="character" w:customStyle="1" w:styleId="IOPRefsChar0">
    <w:name w:val="IOPRefs Char"/>
    <w:basedOn w:val="IOPrefsChar"/>
    <w:link w:val="IOPRefs0"/>
    <w:qFormat/>
    <w:rPr>
      <w:rFonts w:ascii="Times New Roman" w:hAnsi="Times New Roman"/>
      <w:sz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 w:type="table" w:customStyle="1" w:styleId="GridTable1Light-Accent11">
    <w:name w:val="Grid Table 1 Light - Accent 11"/>
    <w:basedOn w:val="TableNormal1"/>
    <w:uiPriority w:val="46"/>
    <w:qFormat/>
    <w:rPr>
      <w:rFonts w:ascii="Arial" w:hAnsi="Arial" w:cs="Arial"/>
      <w:color w:val="000000"/>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2">
    <w:name w:val="Grid Table 1 Light - Accent 12"/>
    <w:basedOn w:val="TableNormal1"/>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tyle57">
    <w:name w:val="_Style 57"/>
    <w:basedOn w:val="TableNormal1"/>
    <w:qFormat/>
    <w:rPr>
      <w:rFonts w:ascii="Arial" w:eastAsia="Arial" w:hAnsi="Arial" w:cs="Arial"/>
      <w:color w:val="000000"/>
    </w:rPr>
    <w:tblPr>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character" w:styleId="UnresolvedMention">
    <w:name w:val="Unresolved Mention"/>
    <w:basedOn w:val="DefaultParagraphFont"/>
    <w:uiPriority w:val="99"/>
    <w:semiHidden/>
    <w:unhideWhenUsed/>
    <w:rsid w:val="00940C0B"/>
    <w:rPr>
      <w:color w:val="605E5C"/>
      <w:shd w:val="clear" w:color="auto" w:fill="E1DFDD"/>
    </w:rPr>
  </w:style>
  <w:style w:type="paragraph" w:styleId="Revision">
    <w:name w:val="Revision"/>
    <w:hidden/>
    <w:uiPriority w:val="99"/>
    <w:unhideWhenUsed/>
    <w:rsid w:val="001074D2"/>
    <w:rPr>
      <w:sz w:val="22"/>
      <w:szCs w:val="22"/>
    </w:rPr>
  </w:style>
  <w:style w:type="paragraph" w:styleId="NoSpacing">
    <w:name w:val="No Spacing"/>
    <w:uiPriority w:val="1"/>
    <w:qFormat/>
    <w:rsid w:val="005E1731"/>
    <w:rPr>
      <w:rFonts w:ascii="Arial" w:eastAsiaTheme="minorHAnsi" w:hAnsi="Arial" w:cstheme="minorBidi"/>
      <w:sz w:val="24"/>
      <w:szCs w:val="22"/>
      <w:lang w:eastAsia="en-US"/>
    </w:rPr>
  </w:style>
  <w:style w:type="paragraph" w:styleId="ListParagraph">
    <w:name w:val="List Paragraph"/>
    <w:basedOn w:val="Normal"/>
    <w:uiPriority w:val="99"/>
    <w:unhideWhenUsed/>
    <w:rsid w:val="0047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2.daad.de/medien/der-daad/analysen-studien/research_and_phd_capacities_in_sub-saharan_africa_-_kenya_report.pdf" TargetMode="External"/><Relationship Id="rId26" Type="http://schemas.openxmlformats.org/officeDocument/2006/relationships/hyperlink" Target="https://assets.publishing.service.gov.uk/government/uploads/system/uploads/attachment_data/file/1052706/Levelling_Up_WP_HRES.pdf" TargetMode="External"/><Relationship Id="rId3" Type="http://schemas.openxmlformats.org/officeDocument/2006/relationships/styles" Target="styles.xml"/><Relationship Id="rId21" Type="http://schemas.openxmlformats.org/officeDocument/2006/relationships/hyperlink" Target="http://www.cue.or.k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andfonline.com/doi/full/10.1080/21681376.2022.2150562" TargetMode="External"/><Relationship Id="rId17" Type="http://schemas.openxmlformats.org/officeDocument/2006/relationships/hyperlink" Target="https://doi.org/10.5281/zenodo.3403895" TargetMode="External"/><Relationship Id="rId25" Type="http://schemas.openxmlformats.org/officeDocument/2006/relationships/hyperlink" Target="https://commonslibrary.parliament.uk/research-briefings/cbp-898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daad.de/medien/der-daad/analysen-studien/research_and_phd_capacities_in_sub-saharan_africa_-_nigeria_report.pdf" TargetMode="External"/><Relationship Id="rId20" Type="http://schemas.openxmlformats.org/officeDocument/2006/relationships/hyperlink" Target="https://commonslibrary.parliament.uk/researchbriefings/cbp-7976" TargetMode="External"/><Relationship Id="rId29" Type="http://schemas.openxmlformats.org/officeDocument/2006/relationships/hyperlink" Target="https://blog.bham.ac.uk/cityre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07/s10734-008-9184-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statista.com/statistics/1135785/university-enrollment-in-kenya/" TargetMode="External"/><Relationship Id="rId28" Type="http://schemas.openxmlformats.org/officeDocument/2006/relationships/hyperlink" Target="https://hetpnn.nl/" TargetMode="External"/><Relationship Id="rId10" Type="http://schemas.openxmlformats.org/officeDocument/2006/relationships/header" Target="header1.xml"/><Relationship Id="rId19" Type="http://schemas.openxmlformats.org/officeDocument/2006/relationships/hyperlink" Target="https://commonslibrary.parliament.uk/research-briefings/cbp-785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aj.org/toc/2514-5347?source=%7B%22query%22%3A%7B%22filtered%22%3A%7B%22filter%22%3A%7B%22bool%22%3A%7B%22must%22%3A%5B%7B%22terms%22%3A%7B%22index.issn.exact%22%3A%5B%222514-5347%22%5D%7D%7D%2C%7B%22term%22%3A%7B%22_type%22%3A%22article%22%7D%7D%5D%7D%7D%2C%22query%22%3A%7B%22match_all%22%3A%7B%7D%7D%7D%7D%2C%22size%22%3A100%2C%22_source%22%3A%7B%7D%7D" TargetMode="External"/><Relationship Id="rId22" Type="http://schemas.openxmlformats.org/officeDocument/2006/relationships/hyperlink" Target="http://www.cue.or.ke/" TargetMode="External"/><Relationship Id="rId27" Type="http://schemas.openxmlformats.org/officeDocument/2006/relationships/hyperlink" Target="https://www.knbs.or.ke/wp-content/uploads/2021/07/Inequality-Trends-and-Diagnostics-in-Kenya-Report.pdf" TargetMode="External"/><Relationship Id="rId30" Type="http://schemas.openxmlformats.org/officeDocument/2006/relationships/hyperlink" Target="https://plato.stanford.edu/archives/sum2021/entries/rawls/" TargetMode="External"/><Relationship Id="rId8" Type="http://schemas.openxmlformats.org/officeDocument/2006/relationships/hyperlink" Target="https://orcid.org/0000-0002-4780-912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24377/prism.article270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Users\fulforda\AppData\Local\Microsoft\Windows\INetCache\Content.Outlook\03PH3UCE\The%20Kenya%20Institute%20of%20Curriculum%20Development%20at:%20https:\kicd.ac.ke\%20)" TargetMode="External"/><Relationship Id="rId2" Type="http://schemas.openxmlformats.org/officeDocument/2006/relationships/hyperlink" Target="https://vision2030.go.ke" TargetMode="External"/><Relationship Id="rId1" Type="http://schemas.openxmlformats.org/officeDocument/2006/relationships/hyperlink" Target="https://www.cue.or.ke/" TargetMode="External"/><Relationship Id="rId4" Type="http://schemas.openxmlformats.org/officeDocument/2006/relationships/hyperlink" Target="https://plato.stanford.edu/search/r?entry=/entries/rawls/&amp;page=1&amp;total_hits=2846&amp;pagesize=10&amp;archive=None&amp;rank=0&amp;query=social%20justice%20by%20rawl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24377/prism.article2709"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75WKX76biOWIpgM4Rg2yLfmppw==">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5816</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Eggleton</dc:creator>
  <cp:lastModifiedBy>David Allan</cp:lastModifiedBy>
  <cp:revision>10</cp:revision>
  <cp:lastPrinted>2026-04-02T17:59:00Z</cp:lastPrinted>
  <dcterms:created xsi:type="dcterms:W3CDTF">2026-04-02T10:00:00Z</dcterms:created>
  <dcterms:modified xsi:type="dcterms:W3CDTF">2026-04-02T18:15:00Z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0x010100712361DB21470B40B1F27812CB270336</vt:lpwstr>
  </property>
  <property fmtid="{D5CDD505-2E9C-101B-9397-08002B2CF9AE}" pid="3" name="KSOProductBuildVer">
    <vt:lpwstr>2057-12.2.0.17119</vt:lpwstr>
  </property>
  <property fmtid="{D5CDD505-2E9C-101B-9397-08002B2CF9AE}" pid="4" name="ICV">
    <vt:lpwstr>41F85A5132864ADD80DCA9CD35D3C96B_13</vt:lpwstr>
  </property>
</Properties>
</file>